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5BF1" w14:textId="6D4945A6" w:rsidR="00A95F04" w:rsidRPr="00A95F04" w:rsidRDefault="00A95F04" w:rsidP="00A95F04">
      <w:pPr>
        <w:bidi w:val="0"/>
        <w:ind w:left="720"/>
        <w:jc w:val="center"/>
        <w:rPr>
          <w:rFonts w:ascii="Arial Black" w:hAnsi="Arial Black"/>
          <w:b/>
          <w:bCs/>
          <w:sz w:val="32"/>
          <w:szCs w:val="32"/>
          <w:lang w:bidi="ar-EG"/>
        </w:rPr>
      </w:pPr>
      <w:r w:rsidRPr="00A95F04">
        <w:rPr>
          <w:rFonts w:ascii="Arial Black" w:hAnsi="Arial Black"/>
          <w:b/>
          <w:bCs/>
          <w:sz w:val="32"/>
          <w:szCs w:val="32"/>
          <w:lang w:bidi="ar-EG"/>
        </w:rPr>
        <w:t xml:space="preserve">AUTOPSY FINDINGS OF ALUMINUM PHOSPHIDE INTOXICATED CORPSES </w:t>
      </w:r>
      <w:r w:rsidR="00E4154D">
        <w:rPr>
          <w:rFonts w:ascii="Arial Black" w:hAnsi="Arial Black"/>
          <w:b/>
          <w:bCs/>
          <w:sz w:val="32"/>
          <w:szCs w:val="32"/>
          <w:lang w:bidi="ar-EG"/>
        </w:rPr>
        <w:t>in QALYUBIYAH GOVERNORATE, Egypt</w:t>
      </w:r>
    </w:p>
    <w:p w14:paraId="3507B5FB" w14:textId="5310E7DC" w:rsidR="00B40BDA" w:rsidRDefault="00B40BDA" w:rsidP="00A208C8">
      <w:pPr>
        <w:bidi w:val="0"/>
        <w:spacing w:after="0"/>
        <w:jc w:val="center"/>
        <w:rPr>
          <w:rFonts w:eastAsia="Andalus"/>
          <w:b/>
        </w:rPr>
      </w:pPr>
      <w:r w:rsidRPr="00B40BDA">
        <w:rPr>
          <w:rFonts w:eastAsia="Andalus"/>
          <w:b/>
        </w:rPr>
        <w:t>Yasmina B. Abd El-magid</w:t>
      </w:r>
      <w:r>
        <w:rPr>
          <w:rFonts w:eastAsia="Andalus"/>
          <w:b/>
        </w:rPr>
        <w:t>*</w:t>
      </w:r>
      <w:r w:rsidR="00A95F04">
        <w:rPr>
          <w:rFonts w:eastAsia="Andalus"/>
          <w:b/>
        </w:rPr>
        <w:t>, Nermeen Adly Hassan</w:t>
      </w:r>
      <w:r w:rsidR="00A208C8">
        <w:rPr>
          <w:rFonts w:eastAsia="Andalus"/>
          <w:b/>
        </w:rPr>
        <w:t>,</w:t>
      </w:r>
      <w:r w:rsidRPr="00B40BDA">
        <w:rPr>
          <w:rFonts w:eastAsia="Andalus"/>
          <w:b/>
        </w:rPr>
        <w:t xml:space="preserve"> </w:t>
      </w:r>
      <w:r w:rsidR="00A95F04">
        <w:rPr>
          <w:rFonts w:eastAsia="Andalus"/>
          <w:b/>
        </w:rPr>
        <w:t>Ibrahim Zamzam</w:t>
      </w:r>
      <w:r w:rsidR="00A208C8">
        <w:rPr>
          <w:rFonts w:eastAsia="Andalus"/>
          <w:b/>
        </w:rPr>
        <w:t xml:space="preserve"> and</w:t>
      </w:r>
      <w:r w:rsidR="00A208C8" w:rsidRPr="00A208C8">
        <w:rPr>
          <w:rFonts w:eastAsia="Andalus"/>
          <w:b/>
        </w:rPr>
        <w:t xml:space="preserve"> Sahar M. Abo El-Wafa</w:t>
      </w:r>
    </w:p>
    <w:p w14:paraId="1A75AD88" w14:textId="550F8637" w:rsidR="00B40BDA" w:rsidRPr="00B40BDA" w:rsidRDefault="00B40BDA" w:rsidP="009864BB">
      <w:pPr>
        <w:bidi w:val="0"/>
        <w:jc w:val="center"/>
        <w:rPr>
          <w:rFonts w:eastAsia="Andalus"/>
          <w:bCs/>
        </w:rPr>
      </w:pPr>
      <w:r w:rsidRPr="00B40BDA">
        <w:rPr>
          <w:rFonts w:eastAsia="Andalus"/>
          <w:bCs/>
        </w:rPr>
        <w:t>Forensic Medicine &amp; Clinical Toxicology Department, Faculty of Medicine, Benha University, Egypt</w:t>
      </w:r>
    </w:p>
    <w:p w14:paraId="4C0CC474" w14:textId="4F9CD734" w:rsidR="00B40BDA" w:rsidRDefault="009C5CDC" w:rsidP="00A95F04">
      <w:pPr>
        <w:bidi w:val="0"/>
        <w:spacing w:after="0"/>
        <w:jc w:val="both"/>
        <w:rPr>
          <w:rFonts w:eastAsia="Andalus"/>
          <w:b/>
        </w:rPr>
      </w:pPr>
      <w:r>
        <w:rPr>
          <w:rFonts w:eastAsia="Andalus"/>
          <w:b/>
        </w:rPr>
        <w:t>*</w:t>
      </w:r>
      <w:r w:rsidR="00B40BDA" w:rsidRPr="00B40BDA">
        <w:rPr>
          <w:rFonts w:eastAsia="Andalus"/>
          <w:b/>
        </w:rPr>
        <w:t xml:space="preserve">Corresponding author: </w:t>
      </w:r>
      <w:r w:rsidR="00B40BDA" w:rsidRPr="00B40BDA">
        <w:rPr>
          <w:rFonts w:eastAsia="Andalus"/>
          <w:bCs/>
        </w:rPr>
        <w:t>Yasmina B. Abd El-magid, Forensic Medicine &amp; Clinical Toxicology Department, Faculty of Medicine, Benha University, Egypt,</w:t>
      </w:r>
      <w:r w:rsidR="00B40BDA" w:rsidRPr="00B40BDA">
        <w:rPr>
          <w:rFonts w:eastAsia="Andalus"/>
          <w:b/>
        </w:rPr>
        <w:t xml:space="preserve"> </w:t>
      </w:r>
    </w:p>
    <w:p w14:paraId="0042C172" w14:textId="7FD8F702" w:rsidR="002D3066" w:rsidRPr="00B40BDA" w:rsidRDefault="00000000" w:rsidP="00B40BDA">
      <w:pPr>
        <w:bidi w:val="0"/>
        <w:jc w:val="both"/>
        <w:rPr>
          <w:rFonts w:eastAsia="Andalus"/>
          <w:bCs/>
          <w:rtl/>
        </w:rPr>
      </w:pPr>
      <w:hyperlink r:id="rId7" w:history="1">
        <w:r w:rsidR="00B40BDA" w:rsidRPr="00AE0725">
          <w:rPr>
            <w:rStyle w:val="Hyperlink"/>
            <w:rFonts w:eastAsia="Andalus"/>
            <w:b/>
          </w:rPr>
          <w:t>yasmeena2014@yahoo.com</w:t>
        </w:r>
      </w:hyperlink>
      <w:r w:rsidR="00B40BDA" w:rsidRPr="00B40BDA">
        <w:rPr>
          <w:rFonts w:eastAsia="Andalus"/>
          <w:b/>
        </w:rPr>
        <w:t>,</w:t>
      </w:r>
      <w:r w:rsidR="00B40BDA">
        <w:rPr>
          <w:rFonts w:eastAsia="Andalus"/>
          <w:b/>
        </w:rPr>
        <w:t xml:space="preserve"> </w:t>
      </w:r>
      <w:r w:rsidR="00B40BDA" w:rsidRPr="00B40BDA">
        <w:rPr>
          <w:rFonts w:eastAsia="Andalus"/>
          <w:b/>
        </w:rPr>
        <w:t xml:space="preserve"> </w:t>
      </w:r>
      <w:r w:rsidR="00B40BDA" w:rsidRPr="00B40BDA">
        <w:rPr>
          <w:rFonts w:eastAsia="Andalus"/>
          <w:bCs/>
        </w:rPr>
        <w:t>+2 01006301728</w:t>
      </w:r>
    </w:p>
    <w:p w14:paraId="2474DD2A" w14:textId="77777777" w:rsidR="00B82D31" w:rsidRPr="00DD3464" w:rsidRDefault="00B82D31" w:rsidP="00B82D31">
      <w:pPr>
        <w:bidi w:val="0"/>
        <w:spacing w:before="240" w:after="200" w:line="240" w:lineRule="auto"/>
        <w:jc w:val="center"/>
        <w:rPr>
          <w:rFonts w:ascii="Times New Roman" w:eastAsia="Times New Roman" w:hAnsi="Times New Roman" w:cs="Times New Roman"/>
          <w:b/>
          <w:bCs/>
          <w:sz w:val="28"/>
          <w:szCs w:val="28"/>
          <w:lang w:bidi="ar-EG"/>
        </w:rPr>
      </w:pPr>
      <w:r w:rsidRPr="00DD3464">
        <w:rPr>
          <w:rFonts w:ascii="Times New Roman" w:eastAsia="Times New Roman" w:hAnsi="Times New Roman" w:cs="Times New Roman"/>
          <w:b/>
          <w:bCs/>
          <w:sz w:val="28"/>
          <w:szCs w:val="28"/>
          <w:lang w:bidi="ar-EG"/>
        </w:rPr>
        <w:t>ABSTRACT</w:t>
      </w:r>
    </w:p>
    <w:p w14:paraId="7ED8AE18" w14:textId="6A59F429" w:rsidR="008A0BC1" w:rsidRDefault="00A95F04" w:rsidP="00EC4826">
      <w:pPr>
        <w:bidi w:val="0"/>
        <w:spacing w:after="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Calibri"/>
          <w:b/>
          <w:bCs/>
          <w:sz w:val="24"/>
          <w:szCs w:val="24"/>
          <w:lang w:bidi="ar-EG"/>
        </w:rPr>
        <w:t>Objectives</w:t>
      </w:r>
      <w:r w:rsidR="00CE68C9" w:rsidRPr="00CE68C9">
        <w:rPr>
          <w:rFonts w:ascii="Times New Roman" w:eastAsia="Times New Roman" w:hAnsi="Times New Roman" w:cs="Calibri"/>
          <w:b/>
          <w:bCs/>
          <w:sz w:val="24"/>
          <w:szCs w:val="24"/>
          <w:lang w:bidi="ar-EG"/>
        </w:rPr>
        <w:t>:</w:t>
      </w:r>
      <w:r w:rsidR="00CE68C9" w:rsidRPr="00CE68C9">
        <w:rPr>
          <w:rFonts w:ascii="Times New Roman" w:eastAsia="Calibri" w:hAnsi="Times New Roman" w:cs="Times New Roman"/>
          <w:sz w:val="24"/>
          <w:szCs w:val="24"/>
        </w:rPr>
        <w:t xml:space="preserve"> </w:t>
      </w:r>
      <w:r w:rsidR="00CB62D0" w:rsidRPr="00CB62D0">
        <w:rPr>
          <w:rFonts w:ascii="Times New Roman" w:eastAsia="Times New Roman" w:hAnsi="Times New Roman" w:cs="Calibri"/>
          <w:sz w:val="24"/>
          <w:szCs w:val="24"/>
          <w:lang w:bidi="ar-EG"/>
        </w:rPr>
        <w:t xml:space="preserve">As a cost-efficient and powerful pesticide, rodenticide, and fumigant, aluminium phosphide (ALP) has been widely utilized. </w:t>
      </w:r>
      <w:r w:rsidR="00CB62D0">
        <w:rPr>
          <w:rFonts w:ascii="Times New Roman" w:eastAsia="Times New Roman" w:hAnsi="Times New Roman" w:cs="Calibri"/>
          <w:sz w:val="24"/>
          <w:szCs w:val="24"/>
          <w:lang w:bidi="ar-EG"/>
        </w:rPr>
        <w:t>It</w:t>
      </w:r>
      <w:r w:rsidR="00CB62D0" w:rsidRPr="00CB62D0">
        <w:rPr>
          <w:rFonts w:ascii="Times New Roman" w:eastAsia="Times New Roman" w:hAnsi="Times New Roman" w:cs="Calibri"/>
          <w:sz w:val="24"/>
          <w:szCs w:val="24"/>
          <w:lang w:bidi="ar-EG"/>
        </w:rPr>
        <w:t xml:space="preserve"> can result in widespread suicide poisoning and high mortality due to its ease of availability. Phosphine is the primary component of ALP (PH3). The human body will suffer total damage as a result of exposure to PH3.</w:t>
      </w:r>
      <w:r w:rsidR="00CB62D0">
        <w:rPr>
          <w:rFonts w:ascii="Times New Roman" w:eastAsia="Times New Roman" w:hAnsi="Times New Roman" w:cs="Calibri"/>
          <w:sz w:val="24"/>
          <w:szCs w:val="24"/>
          <w:lang w:bidi="ar-EG"/>
        </w:rPr>
        <w:t xml:space="preserve"> </w:t>
      </w:r>
      <w:r w:rsidR="00CE68C9" w:rsidRPr="00CE68C9">
        <w:rPr>
          <w:rFonts w:ascii="Times New Roman" w:eastAsia="Times New Roman" w:hAnsi="Times New Roman" w:cs="Calibri"/>
          <w:b/>
          <w:bCs/>
          <w:sz w:val="24"/>
          <w:szCs w:val="24"/>
          <w:lang w:bidi="ar-EG"/>
        </w:rPr>
        <w:t>Aim of work:</w:t>
      </w:r>
      <w:r w:rsidR="00CE68C9" w:rsidRPr="00CE68C9">
        <w:rPr>
          <w:rFonts w:ascii="Calibri" w:eastAsia="Times New Roman" w:hAnsi="Calibri" w:cs="Arial"/>
        </w:rPr>
        <w:t xml:space="preserve"> </w:t>
      </w:r>
      <w:r w:rsidR="00CB62D0" w:rsidRPr="00CB62D0">
        <w:rPr>
          <w:rFonts w:ascii="Times New Roman" w:eastAsia="Times New Roman" w:hAnsi="Times New Roman" w:cs="Calibri"/>
          <w:sz w:val="24"/>
          <w:szCs w:val="24"/>
          <w:lang w:bidi="ar-EG"/>
        </w:rPr>
        <w:t>The goal of the current study was to examine the autopsy results from various human organs that had been poisoned with ALP at the Forensic Medicine Authority in Benha, Qalyubiyah, Egypt.</w:t>
      </w:r>
      <w:r w:rsidR="00CE68C9" w:rsidRPr="00CE68C9">
        <w:rPr>
          <w:rFonts w:ascii="Times New Roman" w:eastAsia="Times New Roman" w:hAnsi="Times New Roman" w:cs="Calibri"/>
          <w:sz w:val="24"/>
          <w:szCs w:val="24"/>
          <w:lang w:bidi="ar-EG"/>
        </w:rPr>
        <w:t xml:space="preserve"> </w:t>
      </w:r>
      <w:r w:rsidR="009C5CDC">
        <w:rPr>
          <w:rFonts w:ascii="Times New Roman" w:eastAsia="Times New Roman" w:hAnsi="Times New Roman" w:cs="Calibri"/>
          <w:b/>
          <w:bCs/>
          <w:sz w:val="24"/>
          <w:szCs w:val="24"/>
          <w:lang w:bidi="ar-EG"/>
        </w:rPr>
        <w:t>Subjects &amp; Methods</w:t>
      </w:r>
      <w:r w:rsidR="00CE68C9" w:rsidRPr="00CE68C9">
        <w:rPr>
          <w:rFonts w:ascii="Times New Roman" w:eastAsia="Times New Roman" w:hAnsi="Times New Roman" w:cs="Calibri"/>
          <w:b/>
          <w:bCs/>
          <w:sz w:val="24"/>
          <w:szCs w:val="24"/>
          <w:lang w:bidi="ar-EG"/>
        </w:rPr>
        <w:t>:</w:t>
      </w:r>
      <w:r w:rsidR="00CE68C9" w:rsidRPr="00CE68C9">
        <w:rPr>
          <w:rFonts w:ascii="Times New Roman" w:eastAsia="Times New Roman" w:hAnsi="Times New Roman" w:cs="Calibri"/>
          <w:sz w:val="24"/>
          <w:szCs w:val="24"/>
          <w:lang w:bidi="ar-EG"/>
        </w:rPr>
        <w:t xml:space="preserve"> </w:t>
      </w:r>
      <w:r w:rsidR="00CB62D0" w:rsidRPr="00CB62D0">
        <w:rPr>
          <w:rFonts w:ascii="Times New Roman" w:eastAsia="Times New Roman" w:hAnsi="Times New Roman" w:cs="Calibri"/>
          <w:sz w:val="24"/>
          <w:szCs w:val="24"/>
          <w:lang w:bidi="ar-EG"/>
        </w:rPr>
        <w:t xml:space="preserve">In this work, </w:t>
      </w:r>
      <w:r w:rsidR="00AA686D">
        <w:rPr>
          <w:rFonts w:ascii="Times New Roman" w:eastAsia="Times New Roman" w:hAnsi="Times New Roman" w:cs="Calibri"/>
          <w:sz w:val="24"/>
          <w:szCs w:val="24"/>
          <w:lang w:bidi="ar-EG"/>
        </w:rPr>
        <w:t>10</w:t>
      </w:r>
      <w:r w:rsidR="009C5CDC">
        <w:rPr>
          <w:rFonts w:ascii="Times New Roman" w:eastAsia="Times New Roman" w:hAnsi="Times New Roman" w:cs="Calibri"/>
          <w:sz w:val="24"/>
          <w:szCs w:val="24"/>
          <w:lang w:bidi="ar-EG"/>
        </w:rPr>
        <w:t xml:space="preserve"> control cases and </w:t>
      </w:r>
      <w:r w:rsidR="00CB62D0" w:rsidRPr="00CB62D0">
        <w:rPr>
          <w:rFonts w:ascii="Times New Roman" w:eastAsia="Times New Roman" w:hAnsi="Times New Roman" w:cs="Calibri"/>
          <w:sz w:val="24"/>
          <w:szCs w:val="24"/>
          <w:lang w:bidi="ar-EG"/>
        </w:rPr>
        <w:t xml:space="preserve">10 chemically confirmed autopsy cases were included and thoroughly </w:t>
      </w:r>
      <w:r w:rsidR="00EC4826" w:rsidRPr="00CB62D0">
        <w:rPr>
          <w:rFonts w:ascii="Times New Roman" w:eastAsia="Times New Roman" w:hAnsi="Times New Roman" w:cs="Calibri"/>
          <w:sz w:val="24"/>
          <w:szCs w:val="24"/>
          <w:lang w:bidi="ar-EG"/>
        </w:rPr>
        <w:t>analyzed</w:t>
      </w:r>
      <w:r w:rsidR="00CB62D0" w:rsidRPr="00CB62D0">
        <w:rPr>
          <w:rFonts w:ascii="Times New Roman" w:eastAsia="Times New Roman" w:hAnsi="Times New Roman" w:cs="Calibri"/>
          <w:sz w:val="24"/>
          <w:szCs w:val="24"/>
          <w:lang w:bidi="ar-EG"/>
        </w:rPr>
        <w:t xml:space="preserve"> on a gross level. Additionally, tissue samples from various organs were stained with hematoxylin and eosin and examined under a microscope.</w:t>
      </w:r>
      <w:r w:rsidR="00EC4826">
        <w:rPr>
          <w:rFonts w:ascii="Times New Roman" w:eastAsia="Times New Roman" w:hAnsi="Times New Roman" w:cs="Calibri"/>
          <w:sz w:val="24"/>
          <w:szCs w:val="24"/>
          <w:lang w:bidi="ar-EG"/>
        </w:rPr>
        <w:t xml:space="preserve"> </w:t>
      </w:r>
      <w:r w:rsidR="00AD1545" w:rsidRPr="00AD1545">
        <w:rPr>
          <w:rFonts w:ascii="Times New Roman" w:eastAsia="Times New Roman" w:hAnsi="Times New Roman" w:cs="Calibri"/>
          <w:b/>
          <w:bCs/>
          <w:sz w:val="24"/>
          <w:szCs w:val="24"/>
          <w:lang w:bidi="ar-EG"/>
        </w:rPr>
        <w:t>Results:</w:t>
      </w:r>
      <w:r w:rsidR="00AD1545">
        <w:rPr>
          <w:rFonts w:ascii="Times New Roman" w:eastAsia="Times New Roman" w:hAnsi="Times New Roman" w:cs="Calibri"/>
          <w:sz w:val="24"/>
          <w:szCs w:val="24"/>
          <w:lang w:bidi="ar-EG"/>
        </w:rPr>
        <w:t xml:space="preserve"> </w:t>
      </w:r>
      <w:r w:rsidR="00EC4826" w:rsidRPr="00EC4826">
        <w:rPr>
          <w:rFonts w:ascii="Times New Roman" w:eastAsia="Times New Roman" w:hAnsi="Times New Roman" w:cs="Calibri"/>
          <w:sz w:val="24"/>
          <w:szCs w:val="24"/>
          <w:lang w:bidi="ar-EG"/>
        </w:rPr>
        <w:t>This study includes a number of gross autopsy observations that have been made. Upon concentrating on the pathological changes in the major organs, we discovered substantial PH3-induced damage in many systems, particularly the stomach, duodenum, lung, and kidney. We also noticed extensive myocardial, splenic, and hepatocellular deterioration in the heart, spleen, and liver tissues.</w:t>
      </w:r>
      <w:r w:rsidR="006057DF">
        <w:rPr>
          <w:rFonts w:ascii="Times New Roman" w:eastAsia="Times New Roman" w:hAnsi="Times New Roman" w:cs="Calibri"/>
          <w:sz w:val="24"/>
          <w:szCs w:val="24"/>
          <w:lang w:bidi="ar-EG"/>
        </w:rPr>
        <w:t xml:space="preserve"> </w:t>
      </w:r>
      <w:r w:rsidR="006057DF" w:rsidRPr="006057DF">
        <w:rPr>
          <w:rFonts w:ascii="Times New Roman" w:eastAsia="Times New Roman" w:hAnsi="Times New Roman" w:cs="Calibri"/>
          <w:b/>
          <w:bCs/>
          <w:sz w:val="24"/>
          <w:szCs w:val="24"/>
          <w:lang w:bidi="ar-EG"/>
        </w:rPr>
        <w:t>Conclusion:</w:t>
      </w:r>
      <w:r w:rsidR="006057DF">
        <w:rPr>
          <w:rFonts w:ascii="Times New Roman" w:eastAsia="Times New Roman" w:hAnsi="Times New Roman" w:cs="Calibri"/>
          <w:b/>
          <w:bCs/>
          <w:sz w:val="24"/>
          <w:szCs w:val="24"/>
          <w:lang w:bidi="ar-EG"/>
        </w:rPr>
        <w:t xml:space="preserve"> </w:t>
      </w:r>
      <w:r w:rsidR="00EC4826" w:rsidRPr="00EC4826">
        <w:rPr>
          <w:rFonts w:ascii="Times New Roman" w:eastAsia="Times New Roman" w:hAnsi="Times New Roman" w:cs="Times New Roman"/>
          <w:sz w:val="24"/>
          <w:szCs w:val="24"/>
          <w:lang w:bidi="ar-EG"/>
        </w:rPr>
        <w:t xml:space="preserve">We believed that these characteristic abnormalities were a possible indicator of PH3 poisoning and partially explained the substance's deadly nature (inhibition of mitochondrial oxidative phosphorylation). We </w:t>
      </w:r>
      <w:r w:rsidR="00240F2F">
        <w:rPr>
          <w:rFonts w:ascii="Times New Roman" w:eastAsia="Times New Roman" w:hAnsi="Times New Roman" w:cs="Times New Roman"/>
          <w:sz w:val="24"/>
          <w:szCs w:val="24"/>
          <w:lang w:bidi="ar-EG"/>
        </w:rPr>
        <w:t>expect</w:t>
      </w:r>
      <w:r w:rsidR="00EC4826" w:rsidRPr="00EC4826">
        <w:rPr>
          <w:rFonts w:ascii="Times New Roman" w:eastAsia="Times New Roman" w:hAnsi="Times New Roman" w:cs="Times New Roman"/>
          <w:sz w:val="24"/>
          <w:szCs w:val="24"/>
          <w:lang w:bidi="ar-EG"/>
        </w:rPr>
        <w:t xml:space="preserve"> that this study will contribute to a better understanding of PH3 toxicity in both forensic and clinical conditions.</w:t>
      </w:r>
    </w:p>
    <w:p w14:paraId="68EE82A5" w14:textId="1AB0772D" w:rsidR="00CE68C9" w:rsidRPr="00CE68C9" w:rsidRDefault="00CE68C9" w:rsidP="008A0BC1">
      <w:pPr>
        <w:bidi w:val="0"/>
        <w:spacing w:after="0" w:line="240" w:lineRule="auto"/>
        <w:jc w:val="lowKashida"/>
        <w:rPr>
          <w:rFonts w:ascii="Times New Roman" w:eastAsia="Times New Roman" w:hAnsi="Times New Roman" w:cs="Times New Roman"/>
          <w:sz w:val="24"/>
          <w:szCs w:val="24"/>
          <w:lang w:bidi="ar-EG"/>
        </w:rPr>
      </w:pPr>
      <w:r w:rsidRPr="00CE68C9">
        <w:rPr>
          <w:rFonts w:ascii="Times New Roman" w:eastAsia="Times New Roman" w:hAnsi="Times New Roman" w:cs="Times New Roman"/>
          <w:b/>
          <w:bCs/>
          <w:sz w:val="24"/>
          <w:szCs w:val="24"/>
          <w:lang w:bidi="ar-EG"/>
        </w:rPr>
        <w:t>Keywords:</w:t>
      </w:r>
      <w:r w:rsidRPr="00CE68C9">
        <w:rPr>
          <w:rFonts w:ascii="Times New Roman" w:eastAsia="Times New Roman" w:hAnsi="Times New Roman" w:cs="Calibri"/>
          <w:sz w:val="24"/>
          <w:szCs w:val="24"/>
          <w:lang w:bidi="ar-EG"/>
        </w:rPr>
        <w:t xml:space="preserve"> </w:t>
      </w:r>
      <w:r w:rsidR="00A67C44">
        <w:rPr>
          <w:rFonts w:ascii="Times New Roman" w:eastAsia="Times New Roman" w:hAnsi="Times New Roman" w:cs="Times New Roman"/>
          <w:sz w:val="24"/>
          <w:szCs w:val="24"/>
          <w:lang w:bidi="ar-EG"/>
        </w:rPr>
        <w:t>Aluminum phosphide (ALP)</w:t>
      </w:r>
      <w:r w:rsidRPr="00CE68C9">
        <w:rPr>
          <w:rFonts w:ascii="Times New Roman" w:eastAsia="Times New Roman" w:hAnsi="Times New Roman" w:cs="Times New Roman"/>
          <w:sz w:val="24"/>
          <w:szCs w:val="24"/>
          <w:lang w:bidi="ar-EG"/>
        </w:rPr>
        <w:t xml:space="preserve">, </w:t>
      </w:r>
      <w:r w:rsidR="00A67C44">
        <w:rPr>
          <w:rFonts w:ascii="Times New Roman" w:eastAsia="Times New Roman" w:hAnsi="Times New Roman" w:cs="Times New Roman"/>
          <w:sz w:val="24"/>
          <w:szCs w:val="24"/>
          <w:lang w:bidi="ar-EG"/>
        </w:rPr>
        <w:t>Autopsy findings</w:t>
      </w:r>
      <w:r w:rsidRPr="00CE68C9">
        <w:rPr>
          <w:rFonts w:ascii="Times New Roman" w:eastAsia="Times New Roman" w:hAnsi="Times New Roman" w:cs="Times New Roman"/>
          <w:sz w:val="24"/>
          <w:szCs w:val="24"/>
          <w:lang w:bidi="ar-EG"/>
        </w:rPr>
        <w:t xml:space="preserve">, </w:t>
      </w:r>
      <w:r w:rsidR="00A67C44">
        <w:rPr>
          <w:rFonts w:ascii="Times New Roman" w:eastAsia="Times New Roman" w:hAnsi="Times New Roman" w:cs="Times New Roman"/>
          <w:sz w:val="24"/>
          <w:szCs w:val="24"/>
          <w:lang w:bidi="ar-EG"/>
        </w:rPr>
        <w:t>Pathology, Poisoning.</w:t>
      </w:r>
    </w:p>
    <w:p w14:paraId="6200F012" w14:textId="74894B1F" w:rsidR="00B82D31" w:rsidRPr="00CE68C9" w:rsidRDefault="00B82D31" w:rsidP="00DD3464">
      <w:pPr>
        <w:pStyle w:val="ListParagraph"/>
        <w:bidi w:val="0"/>
        <w:spacing w:before="240" w:after="0" w:line="240" w:lineRule="auto"/>
        <w:jc w:val="center"/>
        <w:rPr>
          <w:rFonts w:ascii="Times New Roman" w:eastAsia="Times New Roman" w:hAnsi="Times New Roman" w:cs="Times New Roman"/>
          <w:b/>
          <w:bCs/>
          <w:sz w:val="24"/>
          <w:szCs w:val="24"/>
          <w:lang w:bidi="ar-EG"/>
        </w:rPr>
      </w:pPr>
      <w:r w:rsidRPr="00DD3464">
        <w:rPr>
          <w:rFonts w:ascii="Times New Roman" w:eastAsia="Times New Roman" w:hAnsi="Times New Roman" w:cs="Times New Roman"/>
          <w:b/>
          <w:bCs/>
          <w:sz w:val="28"/>
          <w:szCs w:val="28"/>
          <w:lang w:bidi="ar-EG"/>
        </w:rPr>
        <w:t>INTRODUCTION</w:t>
      </w:r>
    </w:p>
    <w:p w14:paraId="5906C8D1" w14:textId="77777777" w:rsidR="00312CAA" w:rsidRDefault="00000000" w:rsidP="00B82D31">
      <w:pPr>
        <w:bidi w:val="0"/>
        <w:spacing w:after="0" w:line="240" w:lineRule="auto"/>
        <w:ind w:firstLine="360"/>
        <w:jc w:val="both"/>
        <w:rPr>
          <w:lang w:bidi="ar-EG"/>
        </w:rPr>
      </w:pPr>
    </w:p>
    <w:p w14:paraId="7452D170" w14:textId="77777777" w:rsidR="000A2753" w:rsidRDefault="000A2753" w:rsidP="00B82D31">
      <w:pPr>
        <w:bidi w:val="0"/>
        <w:spacing w:after="0" w:line="240" w:lineRule="auto"/>
        <w:ind w:firstLine="360"/>
        <w:jc w:val="lowKashida"/>
        <w:rPr>
          <w:rFonts w:ascii="Times New Roman" w:eastAsia="Times New Roman" w:hAnsi="Times New Roman" w:cs="Times New Roman"/>
          <w:color w:val="000000"/>
          <w:sz w:val="24"/>
          <w:szCs w:val="24"/>
          <w:shd w:val="clear" w:color="auto" w:fill="FFFFFF"/>
        </w:rPr>
        <w:sectPr w:rsidR="000A2753" w:rsidSect="00007C6F">
          <w:headerReference w:type="even" r:id="rId8"/>
          <w:headerReference w:type="default" r:id="rId9"/>
          <w:footerReference w:type="even" r:id="rId10"/>
          <w:footerReference w:type="default" r:id="rId11"/>
          <w:pgSz w:w="11906" w:h="16838"/>
          <w:pgMar w:top="1440" w:right="1080" w:bottom="1440" w:left="1080" w:header="708" w:footer="708" w:gutter="0"/>
          <w:pgNumType w:start="25"/>
          <w:cols w:space="708"/>
          <w:bidi/>
          <w:rtlGutter/>
          <w:docGrid w:linePitch="360"/>
        </w:sectPr>
      </w:pPr>
    </w:p>
    <w:p w14:paraId="7580A0A8" w14:textId="5FEF51A2" w:rsidR="00E47DBE" w:rsidRPr="00E47DBE" w:rsidRDefault="00E47DBE" w:rsidP="005426DA">
      <w:pPr>
        <w:bidi w:val="0"/>
        <w:spacing w:after="0" w:line="240" w:lineRule="auto"/>
        <w:ind w:firstLine="720"/>
        <w:jc w:val="both"/>
        <w:rPr>
          <w:rFonts w:ascii="Times New Roman" w:eastAsia="Calibri" w:hAnsi="Times New Roman" w:cs="Times New Roman"/>
          <w:sz w:val="24"/>
          <w:szCs w:val="24"/>
        </w:rPr>
      </w:pPr>
      <w:r w:rsidRPr="00E47DBE">
        <w:rPr>
          <w:rFonts w:ascii="Times New Roman" w:eastAsia="Calibri" w:hAnsi="Times New Roman" w:cs="Times New Roman"/>
          <w:sz w:val="24"/>
          <w:szCs w:val="24"/>
        </w:rPr>
        <w:t>Aluminum phosphide (ALP), known as grain tablets in Egypt, is a solid fumigant pesticide &amp; easily available under brand name "</w:t>
      </w:r>
      <w:r w:rsidR="007C1E90" w:rsidRPr="007C1E90">
        <w:rPr>
          <w:rFonts w:ascii="Times New Roman" w:eastAsia="Calibri" w:hAnsi="Times New Roman" w:cs="Times New Roman"/>
          <w:bCs/>
          <w:iCs/>
          <w:sz w:val="24"/>
          <w:szCs w:val="24"/>
          <w:lang w:val="en-GB"/>
        </w:rPr>
        <w:t>celphos</w:t>
      </w:r>
      <w:r w:rsidR="007C1E90" w:rsidRPr="007C1E90">
        <w:rPr>
          <w:rFonts w:ascii="Times New Roman" w:eastAsia="Calibri" w:hAnsi="Times New Roman" w:cs="Times New Roman"/>
          <w:sz w:val="24"/>
          <w:szCs w:val="24"/>
        </w:rPr>
        <w:t xml:space="preserve"> </w:t>
      </w:r>
      <w:r w:rsidRPr="00E47DBE">
        <w:rPr>
          <w:rFonts w:ascii="Times New Roman" w:eastAsia="Calibri" w:hAnsi="Times New Roman" w:cs="Times New Roman"/>
          <w:sz w:val="24"/>
          <w:szCs w:val="24"/>
        </w:rPr>
        <w:t xml:space="preserve">" tablet. </w:t>
      </w:r>
      <w:r w:rsidR="00A405FC" w:rsidRPr="00A405FC">
        <w:rPr>
          <w:rFonts w:ascii="Times New Roman" w:eastAsia="Calibri" w:hAnsi="Times New Roman" w:cs="Times New Roman"/>
          <w:sz w:val="24"/>
          <w:szCs w:val="24"/>
        </w:rPr>
        <w:t>It is widely used as a grain preservative around the world and is regarded as an ideal pesticide due to its affordability, effectiveness, and ease of market availability</w:t>
      </w:r>
      <w:r w:rsidR="001E61CA">
        <w:rPr>
          <w:rFonts w:ascii="Times New Roman" w:eastAsia="Calibri" w:hAnsi="Times New Roman" w:cs="Times New Roman"/>
          <w:sz w:val="24"/>
          <w:szCs w:val="24"/>
        </w:rPr>
        <w:t xml:space="preserve"> </w:t>
      </w:r>
      <w:r w:rsidR="005426DA" w:rsidRPr="005426DA">
        <w:rPr>
          <w:rFonts w:ascii="Times New Roman" w:eastAsia="Calibri" w:hAnsi="Times New Roman" w:cs="Times New Roman"/>
          <w:b/>
          <w:bCs/>
          <w:i/>
          <w:iCs/>
          <w:sz w:val="24"/>
          <w:szCs w:val="24"/>
        </w:rPr>
        <w:t>(Saleh and Makhlof, 2018)</w:t>
      </w:r>
      <w:r w:rsidR="005426DA">
        <w:rPr>
          <w:rFonts w:ascii="Times New Roman" w:eastAsia="Calibri" w:hAnsi="Times New Roman" w:cs="Times New Roman"/>
          <w:b/>
          <w:bCs/>
          <w:i/>
          <w:iCs/>
          <w:sz w:val="24"/>
          <w:szCs w:val="24"/>
        </w:rPr>
        <w:t xml:space="preserve">. </w:t>
      </w:r>
      <w:r w:rsidR="001E61CA" w:rsidRPr="001E61CA">
        <w:rPr>
          <w:rFonts w:ascii="Times New Roman" w:eastAsia="Calibri" w:hAnsi="Times New Roman" w:cs="Times New Roman"/>
          <w:sz w:val="24"/>
          <w:szCs w:val="24"/>
        </w:rPr>
        <w:t>Patients who had taken more than three tablets each dose all died. 95% of patients die within 24 hours, with the average time from intake of AlP to death being 3 hours (1-48 hours)</w:t>
      </w:r>
      <w:r w:rsidR="001E61CA">
        <w:rPr>
          <w:rFonts w:ascii="Times New Roman" w:eastAsia="Calibri" w:hAnsi="Times New Roman" w:cs="Times New Roman"/>
          <w:sz w:val="24"/>
          <w:szCs w:val="24"/>
        </w:rPr>
        <w:t xml:space="preserve"> </w:t>
      </w:r>
      <w:r w:rsidR="005426DA" w:rsidRPr="005426DA">
        <w:rPr>
          <w:rFonts w:ascii="Times New Roman" w:eastAsia="Calibri" w:hAnsi="Times New Roman" w:cs="Times New Roman"/>
          <w:sz w:val="24"/>
          <w:szCs w:val="24"/>
        </w:rPr>
        <w:t>(</w:t>
      </w:r>
      <w:r w:rsidR="005426DA" w:rsidRPr="005426DA">
        <w:rPr>
          <w:rFonts w:ascii="Times New Roman" w:eastAsia="Calibri" w:hAnsi="Times New Roman" w:cs="Times New Roman"/>
          <w:b/>
          <w:bCs/>
          <w:i/>
          <w:iCs/>
          <w:sz w:val="24"/>
          <w:szCs w:val="24"/>
        </w:rPr>
        <w:t>Kalawat et al., 2016)</w:t>
      </w:r>
      <w:r w:rsidR="005426DA" w:rsidRPr="005426DA">
        <w:rPr>
          <w:rFonts w:ascii="Times New Roman" w:eastAsia="Calibri" w:hAnsi="Times New Roman" w:cs="Times New Roman"/>
          <w:sz w:val="24"/>
          <w:szCs w:val="24"/>
        </w:rPr>
        <w:t>.</w:t>
      </w:r>
    </w:p>
    <w:p w14:paraId="34B41838" w14:textId="1F5FE81D" w:rsidR="00E47DBE" w:rsidRDefault="001E61CA" w:rsidP="005426DA">
      <w:pPr>
        <w:bidi w:val="0"/>
        <w:spacing w:after="0" w:line="240" w:lineRule="auto"/>
        <w:ind w:firstLine="720"/>
        <w:jc w:val="both"/>
        <w:rPr>
          <w:rFonts w:ascii="Times New Roman" w:eastAsia="Calibri" w:hAnsi="Times New Roman" w:cs="Times New Roman"/>
          <w:b/>
          <w:bCs/>
          <w:i/>
          <w:iCs/>
          <w:sz w:val="24"/>
          <w:szCs w:val="24"/>
        </w:rPr>
      </w:pPr>
      <w:r w:rsidRPr="001E61CA">
        <w:rPr>
          <w:rFonts w:ascii="Times New Roman" w:eastAsia="Calibri" w:hAnsi="Times New Roman" w:cs="Times New Roman"/>
          <w:sz w:val="24"/>
          <w:szCs w:val="24"/>
        </w:rPr>
        <w:t xml:space="preserve">If airborne moisture comes into contact with </w:t>
      </w:r>
      <w:r w:rsidR="003741F2" w:rsidRPr="001E61CA">
        <w:rPr>
          <w:rFonts w:ascii="Times New Roman" w:eastAsia="Calibri" w:hAnsi="Times New Roman" w:cs="Times New Roman"/>
          <w:sz w:val="24"/>
          <w:szCs w:val="24"/>
        </w:rPr>
        <w:t>aluminum</w:t>
      </w:r>
      <w:r w:rsidRPr="001E61CA">
        <w:rPr>
          <w:rFonts w:ascii="Times New Roman" w:eastAsia="Calibri" w:hAnsi="Times New Roman" w:cs="Times New Roman"/>
          <w:sz w:val="24"/>
          <w:szCs w:val="24"/>
        </w:rPr>
        <w:t xml:space="preserve"> phosphide, it has the ability to release phosphine gas (PH3). Phosphine gas is odorless, very combustible, explosive, and </w:t>
      </w:r>
      <w:r w:rsidRPr="001E61CA">
        <w:rPr>
          <w:rFonts w:ascii="Times New Roman" w:eastAsia="Calibri" w:hAnsi="Times New Roman" w:cs="Times New Roman"/>
          <w:sz w:val="24"/>
          <w:szCs w:val="24"/>
        </w:rPr>
        <w:t>highly toxic to insects. It can be used as a fumigant to keep pests away from stored goods, and it has a distinct garlic- or decaying-fish-like odor</w:t>
      </w:r>
      <w:bookmarkStart w:id="0" w:name="_Hlk105623090"/>
      <w:r>
        <w:rPr>
          <w:rFonts w:ascii="Times New Roman" w:eastAsia="Calibri" w:hAnsi="Times New Roman" w:cs="Times New Roman"/>
          <w:sz w:val="24"/>
          <w:szCs w:val="24"/>
        </w:rPr>
        <w:t xml:space="preserve"> </w:t>
      </w:r>
      <w:bookmarkEnd w:id="0"/>
      <w:r w:rsidR="005426DA" w:rsidRPr="005426DA">
        <w:rPr>
          <w:rFonts w:ascii="Times New Roman" w:eastAsia="Calibri" w:hAnsi="Times New Roman" w:cs="Times New Roman"/>
          <w:sz w:val="24"/>
          <w:szCs w:val="24"/>
        </w:rPr>
        <w:t>(</w:t>
      </w:r>
      <w:r w:rsidR="005426DA" w:rsidRPr="005426DA">
        <w:rPr>
          <w:rFonts w:ascii="Times New Roman" w:eastAsia="Calibri" w:hAnsi="Times New Roman" w:cs="Times New Roman"/>
          <w:b/>
          <w:bCs/>
          <w:i/>
          <w:iCs/>
          <w:sz w:val="24"/>
          <w:szCs w:val="24"/>
        </w:rPr>
        <w:t>Yan et al., 2018).</w:t>
      </w:r>
      <w:r w:rsidR="005426DA" w:rsidRPr="005426DA">
        <w:rPr>
          <w:rFonts w:ascii="Times New Roman" w:eastAsia="Calibri" w:hAnsi="Times New Roman" w:cs="Times New Roman"/>
          <w:sz w:val="24"/>
          <w:szCs w:val="24"/>
        </w:rPr>
        <w:t xml:space="preserve"> </w:t>
      </w:r>
      <w:r w:rsidR="003741F2" w:rsidRPr="003741F2">
        <w:rPr>
          <w:rFonts w:ascii="Times New Roman" w:eastAsia="Calibri" w:hAnsi="Times New Roman" w:cs="Times New Roman"/>
          <w:sz w:val="24"/>
          <w:szCs w:val="24"/>
        </w:rPr>
        <w:t xml:space="preserve">Also, phosphine toxicity through inhalation has been recorded </w:t>
      </w:r>
      <w:r w:rsidR="008F04B7">
        <w:rPr>
          <w:rFonts w:asciiTheme="majorBidi" w:eastAsia="Times New Roman" w:hAnsiTheme="majorBidi" w:cstheme="majorBidi"/>
          <w:b/>
          <w:bCs/>
          <w:i/>
          <w:iCs/>
          <w:color w:val="000000"/>
          <w:sz w:val="28"/>
          <w:szCs w:val="28"/>
        </w:rPr>
        <w:t>(</w:t>
      </w:r>
      <w:r w:rsidR="008F04B7" w:rsidRPr="008F04B7">
        <w:rPr>
          <w:rFonts w:ascii="Times New Roman" w:eastAsia="Calibri" w:hAnsi="Times New Roman" w:cs="Times New Roman"/>
          <w:b/>
          <w:bCs/>
          <w:i/>
          <w:iCs/>
          <w:sz w:val="24"/>
          <w:szCs w:val="24"/>
        </w:rPr>
        <w:t>Gregorakos et al., 2002).</w:t>
      </w:r>
    </w:p>
    <w:p w14:paraId="2A49B352" w14:textId="77777777" w:rsidR="00053F96" w:rsidRPr="00053F96" w:rsidRDefault="00E9726A" w:rsidP="00053F96">
      <w:pPr>
        <w:bidi w:val="0"/>
        <w:spacing w:line="240" w:lineRule="auto"/>
        <w:ind w:firstLine="720"/>
        <w:jc w:val="both"/>
        <w:rPr>
          <w:rFonts w:ascii="Times New Roman" w:eastAsia="Calibri" w:hAnsi="Times New Roman" w:cs="Times New Roman"/>
          <w:b/>
          <w:bCs/>
          <w:i/>
          <w:iCs/>
          <w:sz w:val="24"/>
          <w:szCs w:val="24"/>
        </w:rPr>
      </w:pPr>
      <w:r w:rsidRPr="00E9726A">
        <w:rPr>
          <w:rFonts w:ascii="Times New Roman" w:eastAsia="Calibri" w:hAnsi="Times New Roman" w:cs="Times New Roman"/>
          <w:sz w:val="24"/>
          <w:szCs w:val="24"/>
        </w:rPr>
        <w:t xml:space="preserve">All tissues </w:t>
      </w:r>
      <w:r>
        <w:rPr>
          <w:rFonts w:ascii="Times New Roman" w:eastAsia="Calibri" w:hAnsi="Times New Roman" w:cs="Times New Roman"/>
          <w:sz w:val="24"/>
          <w:szCs w:val="24"/>
        </w:rPr>
        <w:t>can</w:t>
      </w:r>
      <w:r w:rsidRPr="00E9726A">
        <w:rPr>
          <w:rFonts w:ascii="Times New Roman" w:eastAsia="Calibri" w:hAnsi="Times New Roman" w:cs="Times New Roman"/>
          <w:sz w:val="24"/>
          <w:szCs w:val="24"/>
        </w:rPr>
        <w:t xml:space="preserve"> quickly absorb phosphine, which is then eliminated in the urine and exhaled through the lungs</w:t>
      </w:r>
      <w:r>
        <w:rPr>
          <w:rFonts w:ascii="Times New Roman" w:eastAsia="Calibri" w:hAnsi="Times New Roman" w:cs="Times New Roman"/>
          <w:sz w:val="24"/>
          <w:szCs w:val="24"/>
        </w:rPr>
        <w:t xml:space="preserve"> </w:t>
      </w:r>
      <w:r w:rsidR="008F04B7" w:rsidRPr="008F04B7">
        <w:rPr>
          <w:rFonts w:ascii="Times New Roman" w:eastAsia="Calibri" w:hAnsi="Times New Roman" w:cs="Times New Roman"/>
          <w:sz w:val="24"/>
          <w:szCs w:val="24"/>
        </w:rPr>
        <w:t>(</w:t>
      </w:r>
      <w:r w:rsidR="008F04B7" w:rsidRPr="008F04B7">
        <w:rPr>
          <w:rFonts w:ascii="Times New Roman" w:eastAsia="Calibri" w:hAnsi="Times New Roman" w:cs="Times New Roman"/>
          <w:b/>
          <w:bCs/>
          <w:i/>
          <w:iCs/>
          <w:sz w:val="24"/>
          <w:szCs w:val="24"/>
        </w:rPr>
        <w:t>Hashemi-Domeneh, et al., 2016).</w:t>
      </w:r>
      <w:r w:rsidR="008F04B7" w:rsidRPr="008F04B7">
        <w:rPr>
          <w:rFonts w:ascii="Times New Roman" w:eastAsia="Calibri" w:hAnsi="Times New Roman" w:cs="Times New Roman"/>
          <w:sz w:val="24"/>
          <w:szCs w:val="24"/>
        </w:rPr>
        <w:t xml:space="preserve"> </w:t>
      </w:r>
      <w:r w:rsidR="00B5124E" w:rsidRPr="00B5124E">
        <w:rPr>
          <w:rFonts w:ascii="Times New Roman" w:eastAsia="Calibri" w:hAnsi="Times New Roman" w:cs="Times New Roman"/>
          <w:sz w:val="24"/>
          <w:szCs w:val="24"/>
        </w:rPr>
        <w:t xml:space="preserve">Human toxicity to phosphonates is caused by a common mechanism known as respiratory inhibition. Phosphine is a noncompetitive inhibitor of mitochondrial cytochrome oxidase that blocks electron transfer, inhibiting oxidative </w:t>
      </w:r>
      <w:r w:rsidR="00B5124E" w:rsidRPr="00B5124E">
        <w:rPr>
          <w:rFonts w:ascii="Times New Roman" w:eastAsia="Calibri" w:hAnsi="Times New Roman" w:cs="Times New Roman"/>
          <w:sz w:val="24"/>
          <w:szCs w:val="24"/>
        </w:rPr>
        <w:lastRenderedPageBreak/>
        <w:t>phosphorylation, which in turn prevents cellular respiration and the generation of peroxide radicals. This significantly lowers the potential of the mitochondrial membrane and limits oxidative respiration by 70%</w:t>
      </w:r>
      <w:r w:rsidR="00B5124E">
        <w:rPr>
          <w:rFonts w:ascii="Times New Roman" w:eastAsia="Calibri" w:hAnsi="Times New Roman" w:cs="Times New Roman"/>
          <w:sz w:val="24"/>
          <w:szCs w:val="24"/>
        </w:rPr>
        <w:t xml:space="preserve"> </w:t>
      </w:r>
      <w:r w:rsidR="00053F96" w:rsidRPr="00053F96">
        <w:rPr>
          <w:rFonts w:ascii="Times New Roman" w:eastAsia="Calibri" w:hAnsi="Times New Roman" w:cs="Times New Roman"/>
          <w:sz w:val="24"/>
          <w:szCs w:val="24"/>
        </w:rPr>
        <w:t>(</w:t>
      </w:r>
      <w:r w:rsidR="00053F96" w:rsidRPr="00053F96">
        <w:rPr>
          <w:rFonts w:ascii="Times New Roman" w:eastAsia="Calibri" w:hAnsi="Times New Roman" w:cs="Times New Roman"/>
          <w:b/>
          <w:bCs/>
          <w:i/>
          <w:iCs/>
          <w:sz w:val="24"/>
          <w:szCs w:val="24"/>
        </w:rPr>
        <w:t>Abdollahi and Mehrpour, 2014; Singh et al., 2014).</w:t>
      </w:r>
      <w:r w:rsidR="008F04B7" w:rsidRPr="008F04B7">
        <w:rPr>
          <w:rFonts w:ascii="Times New Roman" w:eastAsia="Calibri" w:hAnsi="Times New Roman" w:cs="Times New Roman"/>
          <w:sz w:val="24"/>
          <w:szCs w:val="24"/>
        </w:rPr>
        <w:t xml:space="preserve"> </w:t>
      </w:r>
      <w:r w:rsidR="00B5124E" w:rsidRPr="00B5124E">
        <w:rPr>
          <w:rFonts w:ascii="Times New Roman" w:eastAsia="Calibri" w:hAnsi="Times New Roman" w:cs="Times New Roman"/>
          <w:sz w:val="24"/>
          <w:szCs w:val="24"/>
        </w:rPr>
        <w:t>Phosphine can inhibit catalase and deplete glutathione, which may also lead to malfunction of the cellular wall and canals. Multisystem toxicity is probably caused by interfering with cellular respiration</w:t>
      </w:r>
      <w:r w:rsidR="00B5124E">
        <w:rPr>
          <w:rFonts w:ascii="Times New Roman" w:eastAsia="Calibri" w:hAnsi="Times New Roman" w:cs="Times New Roman"/>
          <w:sz w:val="24"/>
          <w:szCs w:val="24"/>
        </w:rPr>
        <w:t xml:space="preserve"> </w:t>
      </w:r>
      <w:r w:rsidR="00053F96" w:rsidRPr="00053F96">
        <w:rPr>
          <w:rFonts w:ascii="Times New Roman" w:eastAsia="Calibri" w:hAnsi="Times New Roman" w:cs="Times New Roman"/>
          <w:sz w:val="24"/>
          <w:szCs w:val="24"/>
        </w:rPr>
        <w:t>(</w:t>
      </w:r>
      <w:r w:rsidR="00053F96" w:rsidRPr="00053F96">
        <w:rPr>
          <w:rFonts w:ascii="Times New Roman" w:eastAsia="Calibri" w:hAnsi="Times New Roman" w:cs="Times New Roman"/>
          <w:b/>
          <w:bCs/>
          <w:i/>
          <w:iCs/>
          <w:sz w:val="24"/>
          <w:szCs w:val="24"/>
        </w:rPr>
        <w:t>Hsu, et al., 2002; Hashemi-Domeneh et al., 2016).</w:t>
      </w:r>
    </w:p>
    <w:p w14:paraId="56411037" w14:textId="542AAAEC" w:rsidR="00E47DBE" w:rsidRDefault="00DF41A8" w:rsidP="00053F96">
      <w:pPr>
        <w:bidi w:val="0"/>
        <w:spacing w:line="240" w:lineRule="auto"/>
        <w:ind w:firstLine="720"/>
        <w:jc w:val="both"/>
        <w:rPr>
          <w:rFonts w:ascii="Times New Roman" w:eastAsia="Calibri" w:hAnsi="Times New Roman" w:cs="Times New Roman"/>
          <w:sz w:val="24"/>
          <w:szCs w:val="24"/>
        </w:rPr>
      </w:pPr>
      <w:r w:rsidRPr="00DF41A8">
        <w:rPr>
          <w:rFonts w:ascii="Times New Roman" w:eastAsia="Calibri" w:hAnsi="Times New Roman" w:cs="Times New Roman"/>
          <w:sz w:val="24"/>
          <w:szCs w:val="24"/>
        </w:rPr>
        <w:t xml:space="preserve">Even in skilled and well-equipped facilities, the fatality rate in cases of </w:t>
      </w:r>
      <w:r w:rsidR="006B2E24" w:rsidRPr="00DF41A8">
        <w:rPr>
          <w:rFonts w:ascii="Times New Roman" w:eastAsia="Calibri" w:hAnsi="Times New Roman" w:cs="Times New Roman"/>
          <w:sz w:val="24"/>
          <w:szCs w:val="24"/>
        </w:rPr>
        <w:t>aluminum</w:t>
      </w:r>
      <w:r w:rsidRPr="00DF41A8">
        <w:rPr>
          <w:rFonts w:ascii="Times New Roman" w:eastAsia="Calibri" w:hAnsi="Times New Roman" w:cs="Times New Roman"/>
          <w:sz w:val="24"/>
          <w:szCs w:val="24"/>
        </w:rPr>
        <w:t xml:space="preserve"> phosphide poisoning ranges from 60% to 90%</w:t>
      </w:r>
      <w:r>
        <w:rPr>
          <w:rFonts w:ascii="Times New Roman" w:eastAsia="Calibri" w:hAnsi="Times New Roman" w:cs="Times New Roman"/>
          <w:sz w:val="24"/>
          <w:szCs w:val="24"/>
        </w:rPr>
        <w:t xml:space="preserve"> </w:t>
      </w:r>
      <w:r w:rsidR="00C3182B" w:rsidRPr="00C3182B">
        <w:rPr>
          <w:rFonts w:ascii="Times New Roman" w:eastAsia="Calibri" w:hAnsi="Times New Roman" w:cs="Times New Roman"/>
          <w:b/>
          <w:bCs/>
          <w:i/>
          <w:iCs/>
          <w:sz w:val="24"/>
          <w:szCs w:val="24"/>
        </w:rPr>
        <w:t>(Yan et al., 2017).</w:t>
      </w:r>
      <w:r w:rsidR="00C3182B" w:rsidRPr="00C3182B">
        <w:rPr>
          <w:rFonts w:ascii="Times New Roman" w:eastAsia="Calibri" w:hAnsi="Times New Roman" w:cs="Times New Roman"/>
          <w:sz w:val="24"/>
          <w:szCs w:val="24"/>
        </w:rPr>
        <w:t xml:space="preserve"> </w:t>
      </w:r>
      <w:r w:rsidRPr="00DF41A8">
        <w:rPr>
          <w:rFonts w:ascii="Times New Roman" w:eastAsia="Calibri" w:hAnsi="Times New Roman" w:cs="Times New Roman"/>
          <w:sz w:val="24"/>
          <w:szCs w:val="24"/>
        </w:rPr>
        <w:t xml:space="preserve">The reported cases are based on hospital admission </w:t>
      </w:r>
      <w:r w:rsidR="006B2E24" w:rsidRPr="00DF41A8">
        <w:rPr>
          <w:rFonts w:ascii="Times New Roman" w:eastAsia="Calibri" w:hAnsi="Times New Roman" w:cs="Times New Roman"/>
          <w:sz w:val="24"/>
          <w:szCs w:val="24"/>
        </w:rPr>
        <w:t>data;</w:t>
      </w:r>
      <w:r w:rsidRPr="00DF41A8">
        <w:rPr>
          <w:rFonts w:ascii="Times New Roman" w:eastAsia="Calibri" w:hAnsi="Times New Roman" w:cs="Times New Roman"/>
          <w:sz w:val="24"/>
          <w:szCs w:val="24"/>
        </w:rPr>
        <w:t xml:space="preserve"> </w:t>
      </w:r>
      <w:r w:rsidR="006B2E24" w:rsidRPr="00DF41A8">
        <w:rPr>
          <w:rFonts w:ascii="Times New Roman" w:eastAsia="Calibri" w:hAnsi="Times New Roman" w:cs="Times New Roman"/>
          <w:sz w:val="24"/>
          <w:szCs w:val="24"/>
        </w:rPr>
        <w:t>therefore,</w:t>
      </w:r>
      <w:r w:rsidRPr="00DF41A8">
        <w:rPr>
          <w:rFonts w:ascii="Times New Roman" w:eastAsia="Calibri" w:hAnsi="Times New Roman" w:cs="Times New Roman"/>
          <w:sz w:val="24"/>
          <w:szCs w:val="24"/>
        </w:rPr>
        <w:t xml:space="preserve"> they surely only represent a small portion of the true occurrence.</w:t>
      </w:r>
      <w:r w:rsidR="00C3182B" w:rsidRPr="00C3182B">
        <w:rPr>
          <w:rFonts w:ascii="Times New Roman" w:eastAsia="Calibri" w:hAnsi="Times New Roman" w:cs="Times New Roman"/>
          <w:sz w:val="24"/>
          <w:szCs w:val="24"/>
        </w:rPr>
        <w:t xml:space="preserve"> A cross sectional research by</w:t>
      </w:r>
      <w:r w:rsidR="00C3182B" w:rsidRPr="00C3182B">
        <w:rPr>
          <w:rFonts w:ascii="Times New Roman" w:eastAsia="Calibri" w:hAnsi="Times New Roman" w:cs="Times New Roman"/>
          <w:b/>
          <w:bCs/>
          <w:i/>
          <w:iCs/>
          <w:sz w:val="24"/>
          <w:szCs w:val="24"/>
        </w:rPr>
        <w:t xml:space="preserve"> </w:t>
      </w:r>
      <w:bookmarkStart w:id="1" w:name="_Hlk105720234"/>
      <w:r w:rsidR="00C3182B" w:rsidRPr="00C3182B">
        <w:rPr>
          <w:rFonts w:ascii="Times New Roman" w:eastAsia="Calibri" w:hAnsi="Times New Roman" w:cs="Times New Roman"/>
          <w:b/>
          <w:bCs/>
          <w:i/>
          <w:iCs/>
          <w:sz w:val="24"/>
          <w:szCs w:val="24"/>
        </w:rPr>
        <w:t>Mwaheb &amp;Hassan (202</w:t>
      </w:r>
      <w:r w:rsidR="00562076">
        <w:rPr>
          <w:rFonts w:ascii="Times New Roman" w:eastAsia="Calibri" w:hAnsi="Times New Roman" w:cs="Times New Roman"/>
          <w:b/>
          <w:bCs/>
          <w:i/>
          <w:iCs/>
          <w:sz w:val="24"/>
          <w:szCs w:val="24"/>
        </w:rPr>
        <w:t>0</w:t>
      </w:r>
      <w:r w:rsidR="00C3182B" w:rsidRPr="00C3182B">
        <w:rPr>
          <w:rFonts w:ascii="Times New Roman" w:eastAsia="Calibri" w:hAnsi="Times New Roman" w:cs="Times New Roman"/>
          <w:b/>
          <w:bCs/>
          <w:i/>
          <w:iCs/>
          <w:sz w:val="24"/>
          <w:szCs w:val="24"/>
        </w:rPr>
        <w:t>)</w:t>
      </w:r>
      <w:r w:rsidR="00C3182B" w:rsidRPr="00C3182B">
        <w:rPr>
          <w:rFonts w:ascii="Times New Roman" w:eastAsia="Calibri" w:hAnsi="Times New Roman" w:cs="Times New Roman"/>
          <w:sz w:val="24"/>
          <w:szCs w:val="24"/>
        </w:rPr>
        <w:t xml:space="preserve"> </w:t>
      </w:r>
      <w:bookmarkEnd w:id="1"/>
      <w:r w:rsidR="00C3182B" w:rsidRPr="00C3182B">
        <w:rPr>
          <w:rFonts w:ascii="Times New Roman" w:eastAsia="Calibri" w:hAnsi="Times New Roman" w:cs="Times New Roman"/>
          <w:sz w:val="24"/>
          <w:szCs w:val="24"/>
        </w:rPr>
        <w:t xml:space="preserve">assessed 96 deaths from ALP poisoning in Fayoum Governorate between June 2012 and June 2019 were evaluated and collected from reports of the Forensic Medicine Authority reflectively. </w:t>
      </w:r>
      <w:r w:rsidR="00563DAD" w:rsidRPr="00563DAD">
        <w:rPr>
          <w:rFonts w:ascii="Times New Roman" w:eastAsia="Calibri" w:hAnsi="Times New Roman" w:cs="Times New Roman"/>
          <w:sz w:val="24"/>
          <w:szCs w:val="24"/>
        </w:rPr>
        <w:t xml:space="preserve">Additionally, </w:t>
      </w:r>
      <w:r w:rsidR="00563DAD" w:rsidRPr="00563DAD">
        <w:rPr>
          <w:rFonts w:ascii="Times New Roman" w:eastAsia="Calibri" w:hAnsi="Times New Roman" w:cs="Times New Roman"/>
          <w:b/>
          <w:bCs/>
          <w:i/>
          <w:iCs/>
          <w:sz w:val="24"/>
          <w:szCs w:val="24"/>
        </w:rPr>
        <w:t>Sheta et al. (2019)</w:t>
      </w:r>
      <w:r w:rsidR="00563DAD" w:rsidRPr="00563DAD">
        <w:rPr>
          <w:rFonts w:ascii="Times New Roman" w:eastAsia="Calibri" w:hAnsi="Times New Roman" w:cs="Times New Roman"/>
          <w:sz w:val="24"/>
          <w:szCs w:val="24"/>
        </w:rPr>
        <w:t xml:space="preserve"> conducted a prospective study on all patients admitted to Alexandria Main University Hospital with acute AlP poisoning for 6 months, from 1 November 2017 to the end of April 2018, and found that 13 patients (43%) of the 30 patients admitted during the study period died.</w:t>
      </w:r>
      <w:r w:rsidR="00C3182B" w:rsidRPr="00C3182B">
        <w:rPr>
          <w:rFonts w:ascii="Times New Roman" w:eastAsia="Calibri" w:hAnsi="Times New Roman" w:cs="Times New Roman"/>
          <w:sz w:val="24"/>
          <w:szCs w:val="24"/>
        </w:rPr>
        <w:t xml:space="preserve"> </w:t>
      </w:r>
      <w:r w:rsidR="00376BFA" w:rsidRPr="00376BFA">
        <w:rPr>
          <w:rFonts w:ascii="Times New Roman" w:eastAsia="Calibri" w:hAnsi="Times New Roman" w:cs="Times New Roman"/>
          <w:sz w:val="24"/>
          <w:szCs w:val="24"/>
        </w:rPr>
        <w:t xml:space="preserve">In the prospective research of AlP poisoning by </w:t>
      </w:r>
      <w:r w:rsidR="00376BFA" w:rsidRPr="00376BFA">
        <w:rPr>
          <w:rFonts w:ascii="Times New Roman" w:eastAsia="Calibri" w:hAnsi="Times New Roman" w:cs="Times New Roman"/>
          <w:b/>
          <w:bCs/>
          <w:i/>
          <w:iCs/>
          <w:sz w:val="24"/>
          <w:szCs w:val="24"/>
        </w:rPr>
        <w:t>Abdel-Hady et al. (2019),</w:t>
      </w:r>
      <w:r w:rsidR="00376BFA" w:rsidRPr="00376BFA">
        <w:rPr>
          <w:rFonts w:ascii="Times New Roman" w:eastAsia="Calibri" w:hAnsi="Times New Roman" w:cs="Times New Roman"/>
          <w:sz w:val="24"/>
          <w:szCs w:val="24"/>
        </w:rPr>
        <w:t xml:space="preserve"> 44 patients with a mortality rate of 45.5% who were admitted to the emergency room of the Assiut university hospital were included.</w:t>
      </w:r>
    </w:p>
    <w:p w14:paraId="41BAA475" w14:textId="219DBC89" w:rsidR="006A57AB" w:rsidRDefault="00CE68C9" w:rsidP="006A57AB">
      <w:pPr>
        <w:bidi w:val="0"/>
        <w:spacing w:line="240" w:lineRule="auto"/>
        <w:ind w:firstLine="720"/>
        <w:jc w:val="both"/>
        <w:rPr>
          <w:rFonts w:ascii="Times New Roman" w:eastAsia="Times New Roman" w:hAnsi="Times New Roman" w:cs="Times New Roman"/>
          <w:sz w:val="24"/>
          <w:szCs w:val="24"/>
        </w:rPr>
      </w:pPr>
      <w:r w:rsidRPr="00CE68C9">
        <w:rPr>
          <w:rFonts w:ascii="Times New Roman" w:eastAsia="Times New Roman" w:hAnsi="Times New Roman" w:cs="Times New Roman"/>
          <w:sz w:val="24"/>
          <w:szCs w:val="24"/>
        </w:rPr>
        <w:t xml:space="preserve">So, </w:t>
      </w:r>
      <w:r w:rsidR="00C3182B">
        <w:rPr>
          <w:rFonts w:ascii="Times New Roman" w:eastAsia="Times New Roman" w:hAnsi="Times New Roman" w:cs="Times New Roman"/>
          <w:sz w:val="24"/>
          <w:szCs w:val="24"/>
        </w:rPr>
        <w:t>t</w:t>
      </w:r>
      <w:r w:rsidR="00C3182B" w:rsidRPr="00C3182B">
        <w:rPr>
          <w:rFonts w:ascii="Times New Roman" w:eastAsia="Times New Roman" w:hAnsi="Times New Roman" w:cs="Times New Roman"/>
          <w:sz w:val="24"/>
          <w:szCs w:val="24"/>
        </w:rPr>
        <w:t>he magnitude of AlP poisoning and its numerous related deaths in man</w:t>
      </w:r>
      <w:r w:rsidR="00C3182B" w:rsidRPr="00C3182B">
        <w:rPr>
          <w:rFonts w:asciiTheme="majorBidi" w:eastAsia="Times New Roman" w:hAnsiTheme="majorBidi" w:cstheme="majorBidi"/>
          <w:sz w:val="28"/>
          <w:szCs w:val="28"/>
        </w:rPr>
        <w:t xml:space="preserve"> </w:t>
      </w:r>
      <w:r w:rsidR="00C3182B" w:rsidRPr="00C3182B">
        <w:rPr>
          <w:rFonts w:ascii="Times New Roman" w:eastAsia="Times New Roman" w:hAnsi="Times New Roman" w:cs="Times New Roman"/>
          <w:sz w:val="24"/>
          <w:szCs w:val="24"/>
        </w:rPr>
        <w:t>prompted us to undertake this study.</w:t>
      </w:r>
      <w:r w:rsidR="00991F4B">
        <w:rPr>
          <w:rFonts w:ascii="Times New Roman" w:eastAsia="Times New Roman" w:hAnsi="Times New Roman" w:cs="Times New Roman"/>
          <w:sz w:val="24"/>
          <w:szCs w:val="24"/>
        </w:rPr>
        <w:t xml:space="preserve"> </w:t>
      </w:r>
      <w:r w:rsidR="006A57AB" w:rsidRPr="006A57AB">
        <w:rPr>
          <w:rFonts w:ascii="Times New Roman" w:eastAsia="Times New Roman" w:hAnsi="Times New Roman" w:cs="Times New Roman"/>
          <w:sz w:val="24"/>
          <w:szCs w:val="24"/>
        </w:rPr>
        <w:t>The purpose of the current study was to examine autopsy results in various human organs following ALP overdose that resulted in death. The study's conclusions might help to clarify how PH3 generally harms the body</w:t>
      </w:r>
      <w:r w:rsidR="006A57AB">
        <w:rPr>
          <w:rFonts w:ascii="Times New Roman" w:eastAsia="Times New Roman" w:hAnsi="Times New Roman" w:cs="Times New Roman"/>
          <w:sz w:val="24"/>
          <w:szCs w:val="24"/>
        </w:rPr>
        <w:t xml:space="preserve"> systems</w:t>
      </w:r>
      <w:r w:rsidR="006A57AB" w:rsidRPr="006A57AB">
        <w:rPr>
          <w:rFonts w:ascii="Times New Roman" w:eastAsia="Times New Roman" w:hAnsi="Times New Roman" w:cs="Times New Roman"/>
          <w:sz w:val="24"/>
          <w:szCs w:val="24"/>
        </w:rPr>
        <w:t>.</w:t>
      </w:r>
    </w:p>
    <w:p w14:paraId="632730B4" w14:textId="384ED079" w:rsidR="000A2753" w:rsidRPr="00E45606" w:rsidRDefault="00D76103" w:rsidP="006A57AB">
      <w:pPr>
        <w:bidi w:val="0"/>
        <w:spacing w:line="240" w:lineRule="auto"/>
        <w:ind w:firstLine="720"/>
        <w:jc w:val="both"/>
        <w:rPr>
          <w:rFonts w:ascii="Times New Roman" w:eastAsia="Times New Roman" w:hAnsi="Times New Roman" w:cs="Times New Roman"/>
          <w:b/>
          <w:bCs/>
          <w:sz w:val="28"/>
          <w:szCs w:val="28"/>
          <w:lang w:bidi="ar-EG"/>
        </w:rPr>
      </w:pPr>
      <w:r>
        <w:rPr>
          <w:rFonts w:ascii="Times New Roman" w:eastAsia="Times New Roman" w:hAnsi="Times New Roman" w:cs="Times New Roman"/>
          <w:b/>
          <w:bCs/>
          <w:sz w:val="28"/>
          <w:szCs w:val="28"/>
          <w:lang w:bidi="ar-EG"/>
        </w:rPr>
        <w:t>SUBJECTS</w:t>
      </w:r>
      <w:r w:rsidR="000A2753" w:rsidRPr="00E45606">
        <w:rPr>
          <w:rFonts w:ascii="Times New Roman" w:eastAsia="Times New Roman" w:hAnsi="Times New Roman" w:cs="Times New Roman"/>
          <w:b/>
          <w:bCs/>
          <w:sz w:val="28"/>
          <w:szCs w:val="28"/>
          <w:lang w:bidi="ar-EG"/>
        </w:rPr>
        <w:t xml:space="preserve"> AND METHODS</w:t>
      </w:r>
    </w:p>
    <w:p w14:paraId="17A6D6AA" w14:textId="77777777" w:rsidR="00E45606" w:rsidRPr="00E45606" w:rsidRDefault="00E45606" w:rsidP="00E45606">
      <w:pPr>
        <w:numPr>
          <w:ilvl w:val="0"/>
          <w:numId w:val="9"/>
        </w:numPr>
        <w:bidi w:val="0"/>
        <w:spacing w:before="240" w:after="0" w:line="240" w:lineRule="auto"/>
        <w:contextualSpacing/>
        <w:jc w:val="both"/>
        <w:rPr>
          <w:rFonts w:ascii="Times New Roman" w:eastAsia="Times New Roman" w:hAnsi="Times New Roman" w:cs="Times New Roman"/>
          <w:b/>
          <w:iCs/>
          <w:sz w:val="24"/>
          <w:szCs w:val="24"/>
          <w:lang w:val="en-GB"/>
        </w:rPr>
      </w:pPr>
      <w:r w:rsidRPr="00E45606">
        <w:rPr>
          <w:rFonts w:ascii="Times New Roman" w:eastAsia="Times New Roman" w:hAnsi="Times New Roman" w:cs="Times New Roman"/>
          <w:b/>
          <w:sz w:val="24"/>
          <w:szCs w:val="24"/>
          <w:lang w:val="en-GB"/>
        </w:rPr>
        <w:t xml:space="preserve">Number of cases in the present study, </w:t>
      </w:r>
    </w:p>
    <w:p w14:paraId="6AA20D03" w14:textId="035FC91E" w:rsidR="00744F09" w:rsidRPr="00744F09" w:rsidRDefault="00744F09" w:rsidP="00744F09">
      <w:pPr>
        <w:numPr>
          <w:ilvl w:val="0"/>
          <w:numId w:val="10"/>
        </w:numPr>
        <w:bidi w:val="0"/>
        <w:spacing w:before="240" w:after="0" w:line="240" w:lineRule="auto"/>
        <w:contextualSpacing/>
        <w:jc w:val="both"/>
        <w:rPr>
          <w:rFonts w:ascii="Times New Roman" w:eastAsia="Times New Roman" w:hAnsi="Times New Roman" w:cs="Times New Roman"/>
          <w:bCs/>
          <w:sz w:val="24"/>
          <w:szCs w:val="24"/>
          <w:lang w:val="en-GB"/>
        </w:rPr>
      </w:pPr>
      <w:r w:rsidRPr="00744F09">
        <w:rPr>
          <w:rFonts w:ascii="Times New Roman" w:eastAsia="Times New Roman" w:hAnsi="Times New Roman" w:cs="Times New Roman"/>
          <w:bCs/>
          <w:sz w:val="24"/>
          <w:szCs w:val="24"/>
          <w:lang w:val="en-GB"/>
        </w:rPr>
        <w:t xml:space="preserve">Ten </w:t>
      </w:r>
      <w:r w:rsidR="00460B7C">
        <w:rPr>
          <w:rFonts w:ascii="Times New Roman" w:eastAsia="Times New Roman" w:hAnsi="Times New Roman" w:cs="Times New Roman"/>
          <w:bCs/>
          <w:sz w:val="24"/>
          <w:szCs w:val="24"/>
          <w:lang w:val="en-GB"/>
        </w:rPr>
        <w:t xml:space="preserve">(10) </w:t>
      </w:r>
      <w:r w:rsidRPr="00744F09">
        <w:rPr>
          <w:rFonts w:ascii="Times New Roman" w:eastAsia="Times New Roman" w:hAnsi="Times New Roman" w:cs="Times New Roman"/>
          <w:bCs/>
          <w:sz w:val="24"/>
          <w:szCs w:val="24"/>
          <w:lang w:val="en-GB"/>
        </w:rPr>
        <w:t xml:space="preserve">medical-legal autopsy cases involving aluminium phosphide were investigated. On the basis of a chemical examination of the viscera at the </w:t>
      </w:r>
      <w:r w:rsidR="00D774C2">
        <w:rPr>
          <w:rFonts w:ascii="Times New Roman" w:eastAsia="Times New Roman" w:hAnsi="Times New Roman" w:cs="Times New Roman"/>
          <w:bCs/>
          <w:sz w:val="24"/>
          <w:szCs w:val="24"/>
          <w:lang w:val="en-GB"/>
        </w:rPr>
        <w:t>analytical</w:t>
      </w:r>
      <w:r w:rsidRPr="00744F09">
        <w:rPr>
          <w:rFonts w:ascii="Times New Roman" w:eastAsia="Times New Roman" w:hAnsi="Times New Roman" w:cs="Times New Roman"/>
          <w:bCs/>
          <w:sz w:val="24"/>
          <w:szCs w:val="24"/>
          <w:lang w:val="en-GB"/>
        </w:rPr>
        <w:t xml:space="preserve"> </w:t>
      </w:r>
      <w:r w:rsidR="000A7A20">
        <w:rPr>
          <w:rFonts w:ascii="Times New Roman" w:eastAsia="Times New Roman" w:hAnsi="Times New Roman" w:cs="Times New Roman"/>
          <w:bCs/>
          <w:sz w:val="24"/>
          <w:szCs w:val="24"/>
          <w:lang w:val="en-GB"/>
        </w:rPr>
        <w:t>toxicology</w:t>
      </w:r>
      <w:r w:rsidRPr="00744F09">
        <w:rPr>
          <w:rFonts w:ascii="Times New Roman" w:eastAsia="Times New Roman" w:hAnsi="Times New Roman" w:cs="Times New Roman"/>
          <w:bCs/>
          <w:sz w:val="24"/>
          <w:szCs w:val="24"/>
          <w:lang w:val="en-GB"/>
        </w:rPr>
        <w:t xml:space="preserve"> lab, all of the study cases were determined to be the result of aluminium phosphide poisoning.</w:t>
      </w:r>
    </w:p>
    <w:p w14:paraId="07C6A9B1" w14:textId="6831555A" w:rsidR="00460B7C" w:rsidRPr="00460B7C" w:rsidRDefault="00AA686D" w:rsidP="00744F09">
      <w:pPr>
        <w:numPr>
          <w:ilvl w:val="0"/>
          <w:numId w:val="10"/>
        </w:numPr>
        <w:bidi w:val="0"/>
        <w:spacing w:before="240"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GB"/>
        </w:rPr>
        <w:t>Ten</w:t>
      </w:r>
      <w:r w:rsidR="00460B7C">
        <w:rPr>
          <w:rFonts w:ascii="Times New Roman" w:eastAsia="Times New Roman" w:hAnsi="Times New Roman" w:cs="Times New Roman"/>
          <w:bCs/>
          <w:sz w:val="24"/>
          <w:szCs w:val="24"/>
          <w:lang w:val="en-GB"/>
        </w:rPr>
        <w:t xml:space="preserve"> (</w:t>
      </w:r>
      <w:r>
        <w:rPr>
          <w:rFonts w:ascii="Times New Roman" w:eastAsia="Times New Roman" w:hAnsi="Times New Roman" w:cs="Times New Roman"/>
          <w:bCs/>
          <w:sz w:val="24"/>
          <w:szCs w:val="24"/>
          <w:lang w:val="en-GB"/>
        </w:rPr>
        <w:t>10</w:t>
      </w:r>
      <w:r w:rsidR="00460B7C">
        <w:rPr>
          <w:rFonts w:ascii="Times New Roman" w:eastAsia="Times New Roman" w:hAnsi="Times New Roman" w:cs="Times New Roman"/>
          <w:bCs/>
          <w:sz w:val="24"/>
          <w:szCs w:val="24"/>
          <w:lang w:val="en-GB"/>
        </w:rPr>
        <w:t>)</w:t>
      </w:r>
      <w:r w:rsidR="00744F09" w:rsidRPr="00744F09">
        <w:rPr>
          <w:rFonts w:ascii="Times New Roman" w:eastAsia="Times New Roman" w:hAnsi="Times New Roman" w:cs="Times New Roman"/>
          <w:bCs/>
          <w:sz w:val="24"/>
          <w:szCs w:val="24"/>
          <w:lang w:val="en-GB"/>
        </w:rPr>
        <w:t xml:space="preserve"> control cases were chosen.</w:t>
      </w:r>
      <w:r w:rsidR="00460B7C">
        <w:rPr>
          <w:rFonts w:ascii="Times New Roman" w:eastAsia="Times New Roman" w:hAnsi="Times New Roman" w:cs="Times New Roman"/>
          <w:bCs/>
          <w:sz w:val="24"/>
          <w:szCs w:val="24"/>
          <w:lang w:val="en-GB"/>
        </w:rPr>
        <w:t xml:space="preserve"> </w:t>
      </w:r>
    </w:p>
    <w:p w14:paraId="6D1A75D8" w14:textId="2CAB3163" w:rsidR="006B2E24" w:rsidRPr="000A7A20" w:rsidRDefault="00E4154D" w:rsidP="00E759CD">
      <w:pPr>
        <w:numPr>
          <w:ilvl w:val="0"/>
          <w:numId w:val="10"/>
        </w:numPr>
        <w:bidi w:val="0"/>
        <w:spacing w:before="240" w:after="0" w:line="240" w:lineRule="auto"/>
        <w:contextualSpacing/>
        <w:jc w:val="both"/>
        <w:rPr>
          <w:rFonts w:ascii="Times New Roman" w:eastAsia="Times New Roman" w:hAnsi="Times New Roman" w:cs="Times New Roman"/>
          <w:sz w:val="24"/>
          <w:szCs w:val="24"/>
        </w:rPr>
      </w:pPr>
      <w:r w:rsidRPr="000A7A20">
        <w:rPr>
          <w:rFonts w:ascii="Times New Roman" w:eastAsia="Times New Roman" w:hAnsi="Times New Roman" w:cs="Times New Roman"/>
          <w:sz w:val="24"/>
          <w:szCs w:val="24"/>
        </w:rPr>
        <w:t>All the cases were collected from Forensic Medicine Authority, Benha, Qalyubiyah, Egypt</w:t>
      </w:r>
      <w:r w:rsidR="000A7A20" w:rsidRPr="000A7A20">
        <w:rPr>
          <w:rFonts w:ascii="Times New Roman" w:eastAsia="Times New Roman" w:hAnsi="Times New Roman" w:cs="Times New Roman"/>
          <w:sz w:val="24"/>
          <w:szCs w:val="24"/>
        </w:rPr>
        <w:t xml:space="preserve"> after </w:t>
      </w:r>
      <w:r w:rsidR="000A7A20" w:rsidRPr="000A7A20">
        <w:rPr>
          <w:rFonts w:ascii="Times New Roman" w:eastAsia="Times New Roman" w:hAnsi="Times New Roman" w:cs="Times New Roman"/>
          <w:iCs/>
          <w:sz w:val="24"/>
          <w:szCs w:val="24"/>
        </w:rPr>
        <w:t>Egyptian Ministry of Justice</w:t>
      </w:r>
      <w:r w:rsidR="000A7A20">
        <w:rPr>
          <w:rFonts w:ascii="Times New Roman" w:eastAsia="Times New Roman" w:hAnsi="Times New Roman" w:cs="Times New Roman"/>
          <w:iCs/>
          <w:sz w:val="24"/>
          <w:szCs w:val="24"/>
        </w:rPr>
        <w:t xml:space="preserve"> </w:t>
      </w:r>
      <w:r w:rsidR="000A7A20" w:rsidRPr="000A7A20">
        <w:rPr>
          <w:rFonts w:ascii="Times New Roman" w:eastAsia="Times New Roman" w:hAnsi="Times New Roman" w:cs="Times New Roman"/>
          <w:iCs/>
          <w:sz w:val="24"/>
          <w:szCs w:val="24"/>
        </w:rPr>
        <w:t>approval</w:t>
      </w:r>
      <w:r w:rsidR="000A7A20">
        <w:rPr>
          <w:rFonts w:ascii="Times New Roman" w:eastAsia="Times New Roman" w:hAnsi="Times New Roman" w:cs="Times New Roman"/>
          <w:iCs/>
          <w:sz w:val="24"/>
          <w:szCs w:val="24"/>
        </w:rPr>
        <w:t>.</w:t>
      </w:r>
      <w:r w:rsidR="000A7A20" w:rsidRPr="000A7A20">
        <w:rPr>
          <w:rFonts w:ascii="Times New Roman" w:eastAsia="Times New Roman" w:hAnsi="Times New Roman" w:cs="Times New Roman"/>
          <w:iCs/>
          <w:sz w:val="24"/>
          <w:szCs w:val="24"/>
        </w:rPr>
        <w:t xml:space="preserve"> </w:t>
      </w:r>
    </w:p>
    <w:p w14:paraId="2FDA877E" w14:textId="60D1E55B" w:rsidR="00E45606" w:rsidRPr="00E45606" w:rsidRDefault="00E45606" w:rsidP="006B2E24">
      <w:pPr>
        <w:numPr>
          <w:ilvl w:val="0"/>
          <w:numId w:val="9"/>
        </w:numPr>
        <w:bidi w:val="0"/>
        <w:spacing w:before="240" w:line="360" w:lineRule="auto"/>
        <w:contextualSpacing/>
        <w:jc w:val="both"/>
        <w:rPr>
          <w:rFonts w:ascii="Times New Roman" w:eastAsia="Times New Roman" w:hAnsi="Times New Roman" w:cs="Times New Roman"/>
          <w:b/>
          <w:bCs/>
          <w:sz w:val="24"/>
          <w:szCs w:val="24"/>
        </w:rPr>
      </w:pPr>
      <w:r w:rsidRPr="00E45606">
        <w:rPr>
          <w:rFonts w:ascii="Times New Roman" w:eastAsia="Times New Roman" w:hAnsi="Times New Roman" w:cs="Times New Roman"/>
          <w:b/>
          <w:bCs/>
          <w:sz w:val="24"/>
          <w:szCs w:val="24"/>
        </w:rPr>
        <w:t>Required data</w:t>
      </w:r>
      <w:r>
        <w:rPr>
          <w:rFonts w:ascii="Times New Roman" w:eastAsia="Times New Roman" w:hAnsi="Times New Roman" w:cs="Times New Roman"/>
          <w:b/>
          <w:bCs/>
          <w:sz w:val="24"/>
          <w:szCs w:val="24"/>
        </w:rPr>
        <w:t>:</w:t>
      </w:r>
    </w:p>
    <w:p w14:paraId="614D407A" w14:textId="535582D5" w:rsidR="00460B7C" w:rsidRDefault="00E45606" w:rsidP="00460B7C">
      <w:pPr>
        <w:bidi w:val="0"/>
        <w:spacing w:before="240" w:after="0" w:line="240" w:lineRule="auto"/>
        <w:contextualSpacing/>
        <w:jc w:val="both"/>
        <w:rPr>
          <w:rFonts w:ascii="Times New Roman" w:eastAsia="Times New Roman" w:hAnsi="Times New Roman" w:cs="Times New Roman"/>
          <w:sz w:val="24"/>
          <w:szCs w:val="24"/>
        </w:rPr>
      </w:pPr>
      <w:r w:rsidRPr="00E45606">
        <w:rPr>
          <w:rFonts w:ascii="Times New Roman" w:eastAsia="Times New Roman" w:hAnsi="Times New Roman" w:cs="Times New Roman"/>
          <w:sz w:val="24"/>
          <w:szCs w:val="24"/>
        </w:rPr>
        <w:t xml:space="preserve">- </w:t>
      </w:r>
      <w:r w:rsidR="00460B7C" w:rsidRPr="00460B7C">
        <w:rPr>
          <w:rFonts w:ascii="Times New Roman" w:eastAsia="Times New Roman" w:hAnsi="Times New Roman" w:cs="Times New Roman"/>
          <w:sz w:val="24"/>
          <w:szCs w:val="24"/>
        </w:rPr>
        <w:t>A complete and exact history of the time and amount of aluminum phosphide consumption as well as the death time was attempted to be obtain</w:t>
      </w:r>
      <w:r w:rsidR="00460B7C">
        <w:rPr>
          <w:rFonts w:ascii="Times New Roman" w:eastAsia="Times New Roman" w:hAnsi="Times New Roman" w:cs="Times New Roman"/>
          <w:sz w:val="24"/>
          <w:szCs w:val="24"/>
        </w:rPr>
        <w:t>ed</w:t>
      </w:r>
      <w:r w:rsidR="00460B7C" w:rsidRPr="00460B7C">
        <w:rPr>
          <w:rFonts w:ascii="Times New Roman" w:eastAsia="Times New Roman" w:hAnsi="Times New Roman" w:cs="Times New Roman"/>
          <w:sz w:val="24"/>
          <w:szCs w:val="24"/>
          <w:rtl/>
        </w:rPr>
        <w:t>.</w:t>
      </w:r>
      <w:r w:rsidR="00460B7C">
        <w:rPr>
          <w:rFonts w:ascii="Times New Roman" w:eastAsia="Times New Roman" w:hAnsi="Times New Roman" w:cs="Times New Roman"/>
          <w:sz w:val="24"/>
          <w:szCs w:val="24"/>
        </w:rPr>
        <w:t xml:space="preserve"> </w:t>
      </w:r>
    </w:p>
    <w:p w14:paraId="538D9BF2" w14:textId="1412B21C" w:rsidR="00460B7C" w:rsidRPr="00460B7C" w:rsidRDefault="00460B7C" w:rsidP="00460B7C">
      <w:pPr>
        <w:bidi w:val="0"/>
        <w:spacing w:before="240"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w:t>
      </w:r>
      <w:r w:rsidRPr="00460B7C">
        <w:rPr>
          <w:rFonts w:ascii="Times New Roman" w:eastAsia="Times New Roman" w:hAnsi="Times New Roman" w:cs="Times New Roman"/>
          <w:sz w:val="24"/>
          <w:szCs w:val="24"/>
        </w:rPr>
        <w:t>he viscera were chemically analyzed, and the cases where the viscera tested positive for alcohol or any other poison were excluded from the current study</w:t>
      </w:r>
      <w:r w:rsidRPr="00460B7C">
        <w:rPr>
          <w:rFonts w:ascii="Times New Roman" w:eastAsia="Times New Roman" w:hAnsi="Times New Roman" w:cs="Times New Roman"/>
          <w:sz w:val="24"/>
          <w:szCs w:val="24"/>
          <w:rtl/>
        </w:rPr>
        <w:t>.</w:t>
      </w:r>
    </w:p>
    <w:p w14:paraId="38EB8E20" w14:textId="45A08568" w:rsidR="00460B7C" w:rsidRDefault="00460B7C" w:rsidP="00460B7C">
      <w:pPr>
        <w:bidi w:val="0"/>
        <w:spacing w:before="240" w:after="0" w:line="240" w:lineRule="auto"/>
        <w:contextualSpacing/>
        <w:jc w:val="both"/>
        <w:rPr>
          <w:rFonts w:ascii="Times New Roman" w:eastAsia="Times New Roman" w:hAnsi="Times New Roman" w:cs="Times New Roman"/>
          <w:sz w:val="24"/>
          <w:szCs w:val="24"/>
        </w:rPr>
      </w:pPr>
      <w:r w:rsidRPr="00460B7C">
        <w:rPr>
          <w:rFonts w:ascii="Times New Roman" w:eastAsia="Times New Roman" w:hAnsi="Times New Roman" w:cs="Times New Roman"/>
          <w:sz w:val="24"/>
          <w:szCs w:val="24"/>
        </w:rPr>
        <w:t>- The signs and symptoms seen in patients who were hospitalized and those who were not, as well as the care offered to those who were, have been studied.</w:t>
      </w:r>
    </w:p>
    <w:p w14:paraId="34B9E7C4" w14:textId="11B070FE" w:rsidR="00E45606" w:rsidRPr="00E45606" w:rsidRDefault="00E45606" w:rsidP="00460B7C">
      <w:pPr>
        <w:bidi w:val="0"/>
        <w:spacing w:before="240" w:after="0" w:line="240" w:lineRule="auto"/>
        <w:contextualSpacing/>
        <w:jc w:val="both"/>
        <w:rPr>
          <w:rFonts w:ascii="Times New Roman" w:eastAsia="Times New Roman" w:hAnsi="Times New Roman" w:cs="Times New Roman"/>
          <w:sz w:val="24"/>
          <w:szCs w:val="24"/>
        </w:rPr>
      </w:pPr>
      <w:r w:rsidRPr="00E45606">
        <w:rPr>
          <w:rFonts w:ascii="Times New Roman" w:eastAsia="Times New Roman" w:hAnsi="Times New Roman" w:cs="Times New Roman"/>
          <w:sz w:val="24"/>
          <w:szCs w:val="24"/>
        </w:rPr>
        <w:t>- Detailed external and internal examination of all the poisoned and control cases were undertaken.</w:t>
      </w:r>
    </w:p>
    <w:p w14:paraId="5AFD0984" w14:textId="6F58BCE1" w:rsidR="00E45606" w:rsidRPr="00E45606" w:rsidRDefault="00E45606" w:rsidP="006B2E24">
      <w:pPr>
        <w:pStyle w:val="ListParagraph"/>
        <w:numPr>
          <w:ilvl w:val="0"/>
          <w:numId w:val="12"/>
        </w:numPr>
        <w:bidi w:val="0"/>
        <w:spacing w:before="240" w:after="0" w:line="360" w:lineRule="auto"/>
        <w:jc w:val="both"/>
        <w:rPr>
          <w:rFonts w:ascii="Times New Roman" w:eastAsia="Times New Roman" w:hAnsi="Times New Roman" w:cs="Times New Roman"/>
          <w:b/>
          <w:bCs/>
          <w:sz w:val="24"/>
          <w:szCs w:val="24"/>
        </w:rPr>
      </w:pPr>
      <w:r w:rsidRPr="00E45606">
        <w:rPr>
          <w:rFonts w:ascii="Times New Roman" w:eastAsia="Times New Roman" w:hAnsi="Times New Roman" w:cs="Times New Roman"/>
          <w:b/>
          <w:bCs/>
          <w:sz w:val="24"/>
          <w:szCs w:val="24"/>
        </w:rPr>
        <w:t>Histopathological examination</w:t>
      </w:r>
      <w:r>
        <w:rPr>
          <w:rFonts w:ascii="Times New Roman" w:eastAsia="Times New Roman" w:hAnsi="Times New Roman" w:cs="Times New Roman"/>
          <w:b/>
          <w:bCs/>
          <w:sz w:val="24"/>
          <w:szCs w:val="24"/>
        </w:rPr>
        <w:t>:</w:t>
      </w:r>
    </w:p>
    <w:p w14:paraId="17155B55" w14:textId="77777777" w:rsidR="006B2E24" w:rsidRPr="006B2E24" w:rsidRDefault="006B2E24" w:rsidP="006B2E24">
      <w:pPr>
        <w:bidi w:val="0"/>
        <w:spacing w:after="0" w:line="240" w:lineRule="auto"/>
        <w:ind w:firstLine="720"/>
        <w:contextualSpacing/>
        <w:jc w:val="both"/>
        <w:rPr>
          <w:rFonts w:ascii="Times New Roman" w:eastAsia="Times New Roman" w:hAnsi="Times New Roman" w:cs="Times New Roman"/>
          <w:sz w:val="24"/>
          <w:szCs w:val="24"/>
        </w:rPr>
      </w:pPr>
      <w:r w:rsidRPr="006B2E24">
        <w:rPr>
          <w:rFonts w:ascii="Times New Roman" w:eastAsia="Times New Roman" w:hAnsi="Times New Roman" w:cs="Times New Roman"/>
          <w:sz w:val="24"/>
          <w:szCs w:val="24"/>
        </w:rPr>
        <w:t>The Pathology Department of the Faculty of Medicine at Benha University conducted the analysis on each group's total number of cases, and the findings were reviewed there. After the autopsy, the lungs, heart, small intestine, liver, kidneys, spleen, and other organs that require accurate morphologic study were fixed in bouin's solution, which is made of picric acid, acetic acid, and formaldehyde in an aqueous solution</w:t>
      </w:r>
      <w:r w:rsidRPr="006B2E24">
        <w:rPr>
          <w:rFonts w:ascii="Times New Roman" w:eastAsia="Times New Roman" w:hAnsi="Times New Roman" w:cs="Times New Roman"/>
          <w:sz w:val="24"/>
          <w:szCs w:val="24"/>
          <w:rtl/>
        </w:rPr>
        <w:t>.</w:t>
      </w:r>
    </w:p>
    <w:p w14:paraId="6E6DCBC9" w14:textId="052FD47C" w:rsidR="006B2E24" w:rsidRPr="00E45606" w:rsidRDefault="006B2E24" w:rsidP="006B2E24">
      <w:pPr>
        <w:bidi w:val="0"/>
        <w:spacing w:before="240" w:after="0" w:line="240" w:lineRule="auto"/>
        <w:ind w:firstLine="720"/>
        <w:contextualSpacing/>
        <w:jc w:val="both"/>
        <w:rPr>
          <w:rFonts w:ascii="Times New Roman" w:eastAsia="Times New Roman" w:hAnsi="Times New Roman" w:cs="Times New Roman"/>
          <w:b/>
          <w:bCs/>
          <w:i/>
          <w:iCs/>
          <w:sz w:val="24"/>
          <w:szCs w:val="24"/>
          <w:rtl/>
        </w:rPr>
      </w:pPr>
      <w:r w:rsidRPr="006B2E24">
        <w:rPr>
          <w:rFonts w:ascii="Times New Roman" w:eastAsia="Times New Roman" w:hAnsi="Times New Roman" w:cs="Times New Roman"/>
          <w:sz w:val="24"/>
          <w:szCs w:val="24"/>
        </w:rPr>
        <w:t>Tissue specimens are fixed for 6 to 8 hours prior to getting transferred to 70% alcohol to "wash away" the yellow before being sent to histology for automated dehydration, paraffin embedding, sectioning, and staining.</w:t>
      </w:r>
      <w:r w:rsidRPr="006B2E24">
        <w:rPr>
          <w:rFonts w:ascii="Times New Roman" w:eastAsia="Times New Roman" w:hAnsi="Times New Roman" w:cs="Times New Roman"/>
          <w:b/>
          <w:bCs/>
          <w:i/>
          <w:iCs/>
          <w:sz w:val="24"/>
          <w:szCs w:val="24"/>
        </w:rPr>
        <w:t xml:space="preserve"> </w:t>
      </w:r>
      <w:r w:rsidR="00E45606" w:rsidRPr="00E45606">
        <w:rPr>
          <w:rFonts w:ascii="Times New Roman" w:eastAsia="Times New Roman" w:hAnsi="Times New Roman" w:cs="Times New Roman"/>
          <w:b/>
          <w:bCs/>
          <w:i/>
          <w:iCs/>
          <w:sz w:val="24"/>
          <w:szCs w:val="24"/>
        </w:rPr>
        <w:t>(Bancroft and Gamble, 2008).</w:t>
      </w:r>
    </w:p>
    <w:p w14:paraId="3B21CC37" w14:textId="77777777" w:rsidR="006B2E24" w:rsidRDefault="006B2E24" w:rsidP="000A2753">
      <w:pPr>
        <w:bidi w:val="0"/>
        <w:spacing w:before="240" w:after="0" w:line="240" w:lineRule="auto"/>
        <w:contextualSpacing/>
        <w:jc w:val="center"/>
        <w:rPr>
          <w:rFonts w:ascii="Times New Roman" w:eastAsia="Times New Roman" w:hAnsi="Times New Roman" w:cs="Times New Roman"/>
          <w:b/>
          <w:bCs/>
          <w:sz w:val="28"/>
          <w:szCs w:val="28"/>
          <w:lang w:bidi="ar-EG"/>
        </w:rPr>
      </w:pPr>
    </w:p>
    <w:p w14:paraId="771E3075" w14:textId="7B0CF50C" w:rsidR="000A2753" w:rsidRPr="00DD3464" w:rsidRDefault="000A2753" w:rsidP="00686AC3">
      <w:pPr>
        <w:bidi w:val="0"/>
        <w:spacing w:before="240" w:after="0" w:line="276" w:lineRule="auto"/>
        <w:contextualSpacing/>
        <w:jc w:val="center"/>
        <w:rPr>
          <w:rFonts w:ascii="Times New Roman" w:eastAsia="Times New Roman" w:hAnsi="Times New Roman" w:cs="Times New Roman"/>
          <w:b/>
          <w:bCs/>
          <w:sz w:val="28"/>
          <w:szCs w:val="28"/>
          <w:lang w:bidi="ar-EG"/>
        </w:rPr>
      </w:pPr>
      <w:r w:rsidRPr="00DD3464">
        <w:rPr>
          <w:rFonts w:ascii="Times New Roman" w:eastAsia="Times New Roman" w:hAnsi="Times New Roman" w:cs="Times New Roman"/>
          <w:b/>
          <w:bCs/>
          <w:sz w:val="28"/>
          <w:szCs w:val="28"/>
          <w:lang w:bidi="ar-EG"/>
        </w:rPr>
        <w:t>RESULTS</w:t>
      </w:r>
    </w:p>
    <w:p w14:paraId="33D00607" w14:textId="383E84D0" w:rsidR="002B5824" w:rsidRPr="002B5824" w:rsidRDefault="002B5824" w:rsidP="001456A5">
      <w:pPr>
        <w:bidi w:val="0"/>
        <w:spacing w:line="276" w:lineRule="auto"/>
        <w:ind w:firstLine="360"/>
        <w:jc w:val="both"/>
        <w:rPr>
          <w:rFonts w:ascii="Times New Roman" w:eastAsia="Calibri" w:hAnsi="Times New Roman" w:cs="Times New Roman"/>
          <w:sz w:val="24"/>
          <w:szCs w:val="24"/>
        </w:rPr>
      </w:pPr>
      <w:r w:rsidRPr="002B5824">
        <w:rPr>
          <w:rFonts w:ascii="Times New Roman" w:eastAsia="Calibri" w:hAnsi="Times New Roman" w:cs="Times New Roman"/>
          <w:sz w:val="24"/>
          <w:szCs w:val="24"/>
        </w:rPr>
        <w:t xml:space="preserve">At the end of the </w:t>
      </w:r>
      <w:r w:rsidR="000A7A20">
        <w:rPr>
          <w:rFonts w:ascii="Times New Roman" w:eastAsia="Calibri" w:hAnsi="Times New Roman" w:cs="Times New Roman"/>
          <w:sz w:val="24"/>
          <w:szCs w:val="24"/>
        </w:rPr>
        <w:t>study</w:t>
      </w:r>
      <w:r w:rsidRPr="002B5824">
        <w:rPr>
          <w:rFonts w:ascii="Times New Roman" w:eastAsia="Calibri" w:hAnsi="Times New Roman" w:cs="Times New Roman"/>
          <w:sz w:val="24"/>
          <w:szCs w:val="24"/>
        </w:rPr>
        <w:t xml:space="preserve"> period all cases were subjected to the following studies:</w:t>
      </w:r>
    </w:p>
    <w:p w14:paraId="4E840EB0" w14:textId="4F7282EE" w:rsidR="002B5824" w:rsidRPr="002B5824" w:rsidRDefault="002B5824" w:rsidP="001456A5">
      <w:pPr>
        <w:numPr>
          <w:ilvl w:val="0"/>
          <w:numId w:val="13"/>
        </w:numPr>
        <w:bidi w:val="0"/>
        <w:spacing w:after="0" w:line="276" w:lineRule="auto"/>
        <w:jc w:val="both"/>
        <w:rPr>
          <w:rFonts w:ascii="Times New Roman" w:eastAsia="Calibri" w:hAnsi="Times New Roman" w:cs="Times New Roman"/>
          <w:bCs/>
          <w:iCs/>
          <w:sz w:val="24"/>
          <w:szCs w:val="24"/>
          <w:lang w:val="en-GB"/>
        </w:rPr>
      </w:pPr>
      <w:r w:rsidRPr="002B5824">
        <w:rPr>
          <w:rFonts w:ascii="Times New Roman" w:eastAsia="Calibri" w:hAnsi="Times New Roman" w:cs="Times New Roman"/>
          <w:b/>
          <w:iCs/>
          <w:sz w:val="24"/>
          <w:szCs w:val="24"/>
          <w:lang w:val="en-GB"/>
        </w:rPr>
        <w:t>Observations</w:t>
      </w:r>
      <w:r w:rsidR="004F3933">
        <w:rPr>
          <w:rFonts w:ascii="Times New Roman" w:eastAsia="Calibri" w:hAnsi="Times New Roman" w:cs="Times New Roman"/>
          <w:b/>
          <w:iCs/>
          <w:sz w:val="24"/>
          <w:szCs w:val="24"/>
          <w:lang w:val="en-GB"/>
        </w:rPr>
        <w:t xml:space="preserve"> during the study</w:t>
      </w:r>
      <w:r w:rsidRPr="002B5824">
        <w:rPr>
          <w:rFonts w:ascii="Times New Roman" w:eastAsia="Calibri" w:hAnsi="Times New Roman" w:cs="Times New Roman"/>
          <w:b/>
          <w:iCs/>
          <w:sz w:val="24"/>
          <w:szCs w:val="24"/>
          <w:lang w:val="en-GB"/>
        </w:rPr>
        <w:t>:</w:t>
      </w:r>
    </w:p>
    <w:p w14:paraId="42E22A3F" w14:textId="343DF783" w:rsidR="00D572D1" w:rsidRDefault="002B5824" w:rsidP="00D572D1">
      <w:pPr>
        <w:bidi w:val="0"/>
        <w:spacing w:after="0" w:line="276" w:lineRule="auto"/>
        <w:ind w:firstLine="360"/>
        <w:jc w:val="both"/>
        <w:rPr>
          <w:rFonts w:ascii="Times New Roman" w:eastAsia="Calibri" w:hAnsi="Times New Roman" w:cs="Times New Roman"/>
          <w:iCs/>
          <w:sz w:val="24"/>
          <w:szCs w:val="24"/>
        </w:rPr>
      </w:pPr>
      <w:r w:rsidRPr="002B5824">
        <w:rPr>
          <w:rFonts w:ascii="Times New Roman" w:eastAsia="Calibri" w:hAnsi="Times New Roman" w:cs="Times New Roman"/>
          <w:iCs/>
          <w:sz w:val="24"/>
          <w:szCs w:val="24"/>
        </w:rPr>
        <w:t>In the present study, 10 medicolegal autopsy cases of Aluminum phosphide were studied.</w:t>
      </w:r>
      <w:r w:rsidRPr="002B5824">
        <w:rPr>
          <w:rFonts w:ascii="Times New Roman" w:eastAsia="Calibri" w:hAnsi="Times New Roman" w:cs="Times New Roman"/>
          <w:sz w:val="24"/>
          <w:szCs w:val="24"/>
        </w:rPr>
        <w:t xml:space="preserve"> </w:t>
      </w:r>
      <w:r w:rsidRPr="002B5824">
        <w:rPr>
          <w:rFonts w:ascii="Times New Roman" w:eastAsia="Calibri" w:hAnsi="Times New Roman" w:cs="Times New Roman"/>
          <w:iCs/>
          <w:sz w:val="24"/>
          <w:szCs w:val="24"/>
        </w:rPr>
        <w:t>5 were females and 5 were males, varying in age from 15 - 45 years</w:t>
      </w:r>
      <w:r w:rsidRPr="002B5824">
        <w:rPr>
          <w:rFonts w:ascii="Times New Roman" w:eastAsia="Calibri" w:hAnsi="Times New Roman" w:cs="Times New Roman"/>
          <w:sz w:val="24"/>
          <w:szCs w:val="24"/>
        </w:rPr>
        <w:t xml:space="preserve"> </w:t>
      </w:r>
      <w:r w:rsidRPr="002B5824">
        <w:rPr>
          <w:rFonts w:ascii="Times New Roman" w:eastAsia="Calibri" w:hAnsi="Times New Roman" w:cs="Times New Roman"/>
          <w:iCs/>
          <w:sz w:val="24"/>
          <w:szCs w:val="24"/>
        </w:rPr>
        <w:t>with higher incidence in 2</w:t>
      </w:r>
      <w:r w:rsidRPr="002B5824">
        <w:rPr>
          <w:rFonts w:ascii="Times New Roman" w:eastAsia="Calibri" w:hAnsi="Times New Roman" w:cs="Times New Roman"/>
          <w:iCs/>
          <w:sz w:val="24"/>
          <w:szCs w:val="24"/>
          <w:vertAlign w:val="superscript"/>
        </w:rPr>
        <w:t>nd</w:t>
      </w:r>
      <w:r w:rsidRPr="002B5824">
        <w:rPr>
          <w:rFonts w:ascii="Times New Roman" w:eastAsia="Calibri" w:hAnsi="Times New Roman" w:cs="Times New Roman"/>
          <w:iCs/>
          <w:sz w:val="24"/>
          <w:szCs w:val="24"/>
        </w:rPr>
        <w:t xml:space="preserve"> &amp; 3</w:t>
      </w:r>
      <w:r w:rsidRPr="002B5824">
        <w:rPr>
          <w:rFonts w:ascii="Times New Roman" w:eastAsia="Calibri" w:hAnsi="Times New Roman" w:cs="Times New Roman"/>
          <w:iCs/>
          <w:sz w:val="24"/>
          <w:szCs w:val="24"/>
          <w:vertAlign w:val="superscript"/>
        </w:rPr>
        <w:t>rd</w:t>
      </w:r>
      <w:r w:rsidRPr="002B5824">
        <w:rPr>
          <w:rFonts w:ascii="Times New Roman" w:eastAsia="Calibri" w:hAnsi="Times New Roman" w:cs="Times New Roman"/>
          <w:iCs/>
          <w:sz w:val="24"/>
          <w:szCs w:val="24"/>
        </w:rPr>
        <w:t xml:space="preserve"> decade and rare incidence in the extremes of age. No homicidal case was noted, 100% of the cases were recorded as suicidal incidence. </w:t>
      </w:r>
      <w:r w:rsidR="00D572D1" w:rsidRPr="00D572D1">
        <w:rPr>
          <w:rFonts w:ascii="Times New Roman" w:eastAsia="Calibri" w:hAnsi="Times New Roman" w:cs="Times New Roman"/>
          <w:iCs/>
          <w:sz w:val="24"/>
          <w:szCs w:val="24"/>
        </w:rPr>
        <w:t>The amount of aluminum phosphide tablets ingested may be estimated based on the history provided by the deceased's relatives, and it ranged from half a tablet to three tablets. The survival time in research cases ranged between 3-48 hours, whereas the post-mortem interval ranged between 7-48 hours.</w:t>
      </w:r>
    </w:p>
    <w:p w14:paraId="7D7FB42E" w14:textId="721B14BD" w:rsidR="00D572D1" w:rsidRDefault="00E36A89" w:rsidP="00E36A89">
      <w:pPr>
        <w:bidi w:val="0"/>
        <w:spacing w:after="0" w:line="276" w:lineRule="auto"/>
        <w:ind w:firstLine="360"/>
        <w:jc w:val="both"/>
        <w:rPr>
          <w:rFonts w:ascii="Times New Roman" w:eastAsia="Calibri" w:hAnsi="Times New Roman" w:cs="Times New Roman"/>
          <w:iCs/>
          <w:sz w:val="24"/>
          <w:szCs w:val="24"/>
        </w:rPr>
      </w:pPr>
      <w:r w:rsidRPr="00E36A89">
        <w:rPr>
          <w:rFonts w:ascii="Times New Roman" w:eastAsia="Calibri" w:hAnsi="Times New Roman" w:cs="Times New Roman"/>
          <w:iCs/>
          <w:sz w:val="24"/>
          <w:szCs w:val="24"/>
        </w:rPr>
        <w:t>With focusing on the distinctive observations of AlP poisoned corpses from the 5 control corpses on the external examination during autopsy</w:t>
      </w:r>
      <w:r w:rsidR="002B5824" w:rsidRPr="002B5824">
        <w:rPr>
          <w:rFonts w:ascii="Times New Roman" w:eastAsia="Calibri" w:hAnsi="Times New Roman" w:cs="Times New Roman"/>
          <w:iCs/>
          <w:sz w:val="24"/>
          <w:szCs w:val="24"/>
        </w:rPr>
        <w:t xml:space="preserve">, </w:t>
      </w:r>
      <w:bookmarkStart w:id="2" w:name="_Hlk109862844"/>
      <w:r w:rsidR="002B5824" w:rsidRPr="002B5824">
        <w:rPr>
          <w:rFonts w:ascii="Times New Roman" w:eastAsia="Calibri" w:hAnsi="Times New Roman" w:cs="Times New Roman"/>
          <w:iCs/>
          <w:sz w:val="24"/>
          <w:szCs w:val="24"/>
        </w:rPr>
        <w:t>distinct bluish discoloration of the face was seen in 2 cases</w:t>
      </w:r>
      <w:bookmarkEnd w:id="2"/>
      <w:r w:rsidR="002B5824" w:rsidRPr="002B5824">
        <w:rPr>
          <w:rFonts w:ascii="Times New Roman" w:eastAsia="Calibri" w:hAnsi="Times New Roman" w:cs="Times New Roman"/>
          <w:iCs/>
          <w:sz w:val="24"/>
          <w:szCs w:val="24"/>
        </w:rPr>
        <w:t xml:space="preserve">. </w:t>
      </w:r>
      <w:bookmarkStart w:id="3" w:name="_Hlk109863431"/>
      <w:r w:rsidR="002B5824" w:rsidRPr="002B5824">
        <w:rPr>
          <w:rFonts w:ascii="Times New Roman" w:eastAsia="Calibri" w:hAnsi="Times New Roman" w:cs="Times New Roman"/>
          <w:iCs/>
          <w:sz w:val="24"/>
          <w:szCs w:val="24"/>
        </w:rPr>
        <w:t xml:space="preserve">Froth was present around the nostrils in one case which was blood tinged. </w:t>
      </w:r>
      <w:bookmarkEnd w:id="3"/>
      <w:r w:rsidR="00D572D1" w:rsidRPr="00D572D1">
        <w:rPr>
          <w:rFonts w:ascii="Times New Roman" w:eastAsia="Calibri" w:hAnsi="Times New Roman" w:cs="Times New Roman"/>
          <w:iCs/>
          <w:sz w:val="24"/>
          <w:szCs w:val="24"/>
        </w:rPr>
        <w:t xml:space="preserve">In </w:t>
      </w:r>
      <w:r w:rsidR="00D572D1">
        <w:rPr>
          <w:rFonts w:ascii="Times New Roman" w:eastAsia="Calibri" w:hAnsi="Times New Roman" w:cs="Times New Roman"/>
          <w:iCs/>
          <w:sz w:val="24"/>
          <w:szCs w:val="24"/>
        </w:rPr>
        <w:t>4</w:t>
      </w:r>
      <w:r w:rsidR="00D572D1" w:rsidRPr="00D572D1">
        <w:rPr>
          <w:rFonts w:ascii="Times New Roman" w:eastAsia="Calibri" w:hAnsi="Times New Roman" w:cs="Times New Roman"/>
          <w:iCs/>
          <w:sz w:val="24"/>
          <w:szCs w:val="24"/>
        </w:rPr>
        <w:t xml:space="preserve"> cases, a characteristic garlicky odor associated with aluminum phosphide poisoning was spotted near to the body.</w:t>
      </w:r>
    </w:p>
    <w:p w14:paraId="5686BBDA" w14:textId="35E2565C" w:rsidR="0098031D" w:rsidRDefault="00742F59" w:rsidP="00742F59">
      <w:pPr>
        <w:bidi w:val="0"/>
        <w:spacing w:line="276" w:lineRule="auto"/>
        <w:ind w:firstLine="360"/>
        <w:jc w:val="both"/>
        <w:rPr>
          <w:lang w:bidi="ar-EG"/>
        </w:rPr>
      </w:pPr>
      <w:r w:rsidRPr="00742F59">
        <w:rPr>
          <w:rFonts w:ascii="Times New Roman" w:eastAsia="Calibri" w:hAnsi="Times New Roman" w:cs="Times New Roman"/>
          <w:iCs/>
          <w:sz w:val="24"/>
          <w:szCs w:val="24"/>
        </w:rPr>
        <w:t xml:space="preserve">Internal examination revealed that the trachea was congested in all cases and that froth was present in </w:t>
      </w:r>
      <w:r w:rsidR="007B715D">
        <w:rPr>
          <w:rFonts w:ascii="Times New Roman" w:eastAsia="Calibri" w:hAnsi="Times New Roman" w:cs="Times New Roman"/>
          <w:iCs/>
          <w:sz w:val="24"/>
          <w:szCs w:val="24"/>
        </w:rPr>
        <w:t>4</w:t>
      </w:r>
      <w:r w:rsidRPr="00742F59">
        <w:rPr>
          <w:rFonts w:ascii="Times New Roman" w:eastAsia="Calibri" w:hAnsi="Times New Roman" w:cs="Times New Roman"/>
          <w:iCs/>
          <w:sz w:val="24"/>
          <w:szCs w:val="24"/>
        </w:rPr>
        <w:t xml:space="preserve"> of them. In all cases, the lungs were found to be congested and edematous after being sliced. In all cases, little hemorrhages were found in the interlobular gaps and on the lungs' margins. Frothy, dark hemolyzed blood was seen flowing out of the cut. In </w:t>
      </w:r>
      <w:r w:rsidR="007B715D">
        <w:rPr>
          <w:rFonts w:ascii="Times New Roman" w:eastAsia="Calibri" w:hAnsi="Times New Roman" w:cs="Times New Roman"/>
          <w:iCs/>
          <w:sz w:val="24"/>
          <w:szCs w:val="24"/>
        </w:rPr>
        <w:t xml:space="preserve">7 </w:t>
      </w:r>
      <w:r w:rsidRPr="00742F59">
        <w:rPr>
          <w:rFonts w:ascii="Times New Roman" w:eastAsia="Calibri" w:hAnsi="Times New Roman" w:cs="Times New Roman"/>
          <w:iCs/>
          <w:sz w:val="24"/>
          <w:szCs w:val="24"/>
        </w:rPr>
        <w:t xml:space="preserve">cases, the stomach had greyish brown fluid or pasty material. In </w:t>
      </w:r>
      <w:r w:rsidR="007B715D">
        <w:rPr>
          <w:rFonts w:ascii="Times New Roman" w:eastAsia="Calibri" w:hAnsi="Times New Roman" w:cs="Times New Roman"/>
          <w:iCs/>
          <w:sz w:val="24"/>
          <w:szCs w:val="24"/>
        </w:rPr>
        <w:t>8</w:t>
      </w:r>
      <w:r w:rsidRPr="00742F59">
        <w:rPr>
          <w:rFonts w:ascii="Times New Roman" w:eastAsia="Calibri" w:hAnsi="Times New Roman" w:cs="Times New Roman"/>
          <w:iCs/>
          <w:sz w:val="24"/>
          <w:szCs w:val="24"/>
        </w:rPr>
        <w:t xml:space="preserve"> cases, the characteristic odor was detected. Sloughing of mucosa was also detected in all cases, with a greater prevalence in the fungal zone. In all cases, the liver, spleen, and kidneys were found to be congested.</w:t>
      </w:r>
    </w:p>
    <w:p w14:paraId="34934882" w14:textId="77777777" w:rsidR="000A7A20" w:rsidRPr="000A7A20" w:rsidRDefault="002B5824" w:rsidP="000A7A20">
      <w:pPr>
        <w:numPr>
          <w:ilvl w:val="0"/>
          <w:numId w:val="13"/>
        </w:numPr>
        <w:bidi w:val="0"/>
        <w:spacing w:after="0" w:line="276" w:lineRule="auto"/>
        <w:jc w:val="both"/>
        <w:rPr>
          <w:rFonts w:asciiTheme="majorBidi" w:hAnsiTheme="majorBidi" w:cstheme="majorBidi"/>
          <w:bCs/>
          <w:i/>
          <w:sz w:val="24"/>
          <w:szCs w:val="24"/>
          <w:u w:val="single"/>
          <w:lang w:val="en-GB" w:bidi="ar-EG"/>
        </w:rPr>
      </w:pPr>
      <w:r w:rsidRPr="000A7A20">
        <w:rPr>
          <w:rFonts w:ascii="Times New Roman" w:eastAsia="Calibri" w:hAnsi="Times New Roman" w:cs="Times New Roman"/>
          <w:b/>
          <w:iCs/>
          <w:sz w:val="24"/>
          <w:szCs w:val="24"/>
          <w:lang w:val="en-GB"/>
        </w:rPr>
        <w:t xml:space="preserve">Histopathological results </w:t>
      </w:r>
    </w:p>
    <w:p w14:paraId="212B89C5" w14:textId="77777777" w:rsidR="00096213" w:rsidRDefault="00096213" w:rsidP="000A7A20">
      <w:pPr>
        <w:bidi w:val="0"/>
        <w:spacing w:after="0" w:line="276" w:lineRule="auto"/>
        <w:jc w:val="both"/>
        <w:rPr>
          <w:rFonts w:asciiTheme="majorBidi" w:hAnsiTheme="majorBidi" w:cstheme="majorBidi"/>
          <w:bCs/>
          <w:i/>
          <w:sz w:val="24"/>
          <w:szCs w:val="24"/>
          <w:u w:val="single"/>
          <w:lang w:val="en-GB" w:bidi="ar-EG"/>
        </w:rPr>
      </w:pPr>
    </w:p>
    <w:p w14:paraId="53753EB1" w14:textId="03EBF9E1" w:rsidR="00096213" w:rsidRPr="00096213" w:rsidRDefault="00096213" w:rsidP="00096213">
      <w:pPr>
        <w:bidi w:val="0"/>
        <w:spacing w:after="0" w:line="276" w:lineRule="auto"/>
        <w:jc w:val="both"/>
        <w:rPr>
          <w:rFonts w:asciiTheme="majorBidi" w:hAnsiTheme="majorBidi" w:cstheme="majorBidi"/>
          <w:i/>
          <w:sz w:val="24"/>
          <w:szCs w:val="24"/>
          <w:u w:val="single"/>
          <w:lang w:val="en-GB" w:bidi="ar-EG"/>
        </w:rPr>
      </w:pPr>
      <w:r w:rsidRPr="00096213">
        <w:rPr>
          <w:rFonts w:asciiTheme="majorBidi" w:hAnsiTheme="majorBidi" w:cstheme="majorBidi"/>
          <w:i/>
          <w:sz w:val="24"/>
          <w:szCs w:val="24"/>
          <w:u w:val="single"/>
          <w:lang w:val="en-GB" w:bidi="ar-EG"/>
        </w:rPr>
        <w:t>The following histopathological findings were observed in the studied cases of the control group</w:t>
      </w:r>
      <w:r w:rsidRPr="00096213">
        <w:rPr>
          <w:rFonts w:asciiTheme="majorBidi" w:hAnsiTheme="majorBidi" w:cstheme="majorBidi"/>
          <w:b/>
          <w:i/>
          <w:sz w:val="24"/>
          <w:szCs w:val="24"/>
          <w:u w:val="single"/>
          <w:lang w:val="en-GB" w:bidi="ar-EG"/>
        </w:rPr>
        <w:t xml:space="preserve"> </w:t>
      </w:r>
      <w:r>
        <w:rPr>
          <w:rFonts w:asciiTheme="majorBidi" w:hAnsiTheme="majorBidi" w:cstheme="majorBidi"/>
          <w:b/>
          <w:i/>
          <w:sz w:val="24"/>
          <w:szCs w:val="24"/>
          <w:u w:val="single"/>
          <w:lang w:val="en-GB" w:bidi="ar-EG"/>
        </w:rPr>
        <w:t>(</w:t>
      </w:r>
      <w:r w:rsidRPr="00096213">
        <w:rPr>
          <w:rFonts w:asciiTheme="majorBidi" w:hAnsiTheme="majorBidi" w:cstheme="majorBidi"/>
          <w:b/>
          <w:i/>
          <w:sz w:val="24"/>
          <w:szCs w:val="24"/>
          <w:u w:val="single"/>
          <w:lang w:val="en-GB" w:bidi="ar-EG"/>
        </w:rPr>
        <w:t>Fig 1,2):</w:t>
      </w:r>
    </w:p>
    <w:p w14:paraId="53F2F80C" w14:textId="1A952CE3" w:rsidR="00096213" w:rsidRPr="00096213" w:rsidRDefault="00096213" w:rsidP="00096213">
      <w:pPr>
        <w:numPr>
          <w:ilvl w:val="1"/>
          <w:numId w:val="14"/>
        </w:numPr>
        <w:bidi w:val="0"/>
        <w:spacing w:after="0" w:line="276" w:lineRule="auto"/>
        <w:jc w:val="both"/>
        <w:rPr>
          <w:rFonts w:asciiTheme="majorBidi" w:hAnsiTheme="majorBidi" w:cstheme="majorBidi"/>
          <w:b/>
          <w:bCs/>
          <w:sz w:val="24"/>
          <w:szCs w:val="24"/>
          <w:lang w:bidi="ar-EG"/>
        </w:rPr>
      </w:pPr>
      <w:r w:rsidRPr="00096213">
        <w:rPr>
          <w:rFonts w:asciiTheme="majorBidi" w:hAnsiTheme="majorBidi" w:cstheme="majorBidi"/>
          <w:b/>
          <w:bCs/>
          <w:sz w:val="24"/>
          <w:szCs w:val="24"/>
          <w:lang w:bidi="ar-EG"/>
        </w:rPr>
        <w:t>Stomach</w:t>
      </w:r>
      <w:r>
        <w:rPr>
          <w:rFonts w:asciiTheme="majorBidi" w:hAnsiTheme="majorBidi" w:cstheme="majorBidi"/>
          <w:b/>
          <w:bCs/>
          <w:sz w:val="24"/>
          <w:szCs w:val="24"/>
          <w:lang w:bidi="ar-EG"/>
        </w:rPr>
        <w:t>:</w:t>
      </w:r>
    </w:p>
    <w:p w14:paraId="2B22C5D8" w14:textId="77777777" w:rsidR="00096213" w:rsidRPr="00096213" w:rsidRDefault="00096213" w:rsidP="00096213">
      <w:pPr>
        <w:bidi w:val="0"/>
        <w:spacing w:after="0" w:line="276" w:lineRule="auto"/>
        <w:ind w:firstLine="720"/>
        <w:jc w:val="both"/>
        <w:rPr>
          <w:rFonts w:asciiTheme="majorBidi" w:hAnsiTheme="majorBidi" w:cstheme="majorBidi"/>
          <w:bCs/>
          <w:sz w:val="24"/>
          <w:szCs w:val="24"/>
          <w:rtl/>
          <w:lang w:val="en-GB" w:bidi="ar-EG"/>
        </w:rPr>
      </w:pPr>
      <w:r w:rsidRPr="00096213">
        <w:rPr>
          <w:rFonts w:asciiTheme="majorBidi" w:hAnsiTheme="majorBidi" w:cstheme="majorBidi"/>
          <w:bCs/>
          <w:sz w:val="24"/>
          <w:szCs w:val="24"/>
          <w:lang w:bidi="ar-EG"/>
        </w:rPr>
        <w:t>Histopathological examination of the stomach of most control cases showing normal architecture of the gastric mucosa with normal epithelial lining. The lamina propria is occupied with normal fundic glands.</w:t>
      </w:r>
    </w:p>
    <w:p w14:paraId="736892F5" w14:textId="77777777" w:rsidR="00096213" w:rsidRPr="00096213" w:rsidRDefault="00096213" w:rsidP="00EC5B58">
      <w:pPr>
        <w:numPr>
          <w:ilvl w:val="1"/>
          <w:numId w:val="14"/>
        </w:numPr>
        <w:bidi w:val="0"/>
        <w:spacing w:after="0" w:line="276" w:lineRule="auto"/>
        <w:jc w:val="both"/>
        <w:rPr>
          <w:rFonts w:asciiTheme="majorBidi" w:hAnsiTheme="majorBidi" w:cstheme="majorBidi"/>
          <w:bCs/>
          <w:sz w:val="24"/>
          <w:szCs w:val="24"/>
          <w:lang w:bidi="ar-EG"/>
        </w:rPr>
      </w:pPr>
      <w:r w:rsidRPr="00096213">
        <w:rPr>
          <w:rFonts w:asciiTheme="majorBidi" w:hAnsiTheme="majorBidi" w:cstheme="majorBidi"/>
          <w:b/>
          <w:bCs/>
          <w:sz w:val="24"/>
          <w:szCs w:val="24"/>
          <w:lang w:bidi="ar-EG"/>
        </w:rPr>
        <w:t>Small intestine</w:t>
      </w:r>
      <w:r>
        <w:rPr>
          <w:rFonts w:asciiTheme="majorBidi" w:hAnsiTheme="majorBidi" w:cstheme="majorBidi"/>
          <w:b/>
          <w:bCs/>
          <w:sz w:val="24"/>
          <w:szCs w:val="24"/>
          <w:lang w:bidi="ar-EG"/>
        </w:rPr>
        <w:t>:</w:t>
      </w:r>
    </w:p>
    <w:p w14:paraId="31A2BAC4" w14:textId="0CC4C28F" w:rsidR="00096213" w:rsidRPr="00096213" w:rsidRDefault="00096213" w:rsidP="00096213">
      <w:pPr>
        <w:bidi w:val="0"/>
        <w:spacing w:after="0" w:line="276" w:lineRule="auto"/>
        <w:ind w:firstLine="720"/>
        <w:jc w:val="both"/>
        <w:rPr>
          <w:rFonts w:asciiTheme="majorBidi" w:hAnsiTheme="majorBidi" w:cstheme="majorBidi"/>
          <w:bCs/>
          <w:sz w:val="24"/>
          <w:szCs w:val="24"/>
          <w:lang w:bidi="ar-EG"/>
        </w:rPr>
      </w:pPr>
      <w:r w:rsidRPr="00096213">
        <w:rPr>
          <w:rFonts w:asciiTheme="majorBidi" w:hAnsiTheme="majorBidi" w:cstheme="majorBidi"/>
          <w:bCs/>
          <w:sz w:val="24"/>
          <w:szCs w:val="24"/>
          <w:lang w:bidi="ar-EG"/>
        </w:rPr>
        <w:t>Histopathological examination of small intestine of all the control cases showing normal fundic mucosa with normal architecture of mucosal villi and submucosal layer containing normal burner’s glands with normal intraepithelial lymphocytes.</w:t>
      </w:r>
    </w:p>
    <w:p w14:paraId="4AE3BF5A" w14:textId="3BF0CCFA" w:rsidR="00096213" w:rsidRPr="00096213" w:rsidRDefault="00096213" w:rsidP="00096213">
      <w:pPr>
        <w:numPr>
          <w:ilvl w:val="1"/>
          <w:numId w:val="14"/>
        </w:numPr>
        <w:bidi w:val="0"/>
        <w:spacing w:after="0" w:line="276" w:lineRule="auto"/>
        <w:jc w:val="both"/>
        <w:rPr>
          <w:rFonts w:asciiTheme="majorBidi" w:hAnsiTheme="majorBidi" w:cstheme="majorBidi"/>
          <w:bCs/>
          <w:sz w:val="24"/>
          <w:szCs w:val="24"/>
          <w:lang w:bidi="ar-EG"/>
        </w:rPr>
      </w:pPr>
      <w:r w:rsidRPr="00096213">
        <w:rPr>
          <w:rFonts w:asciiTheme="majorBidi" w:hAnsiTheme="majorBidi" w:cstheme="majorBidi"/>
          <w:b/>
          <w:bCs/>
          <w:sz w:val="24"/>
          <w:szCs w:val="24"/>
          <w:lang w:bidi="ar-EG"/>
        </w:rPr>
        <w:t>Kidney</w:t>
      </w:r>
      <w:r>
        <w:rPr>
          <w:rFonts w:asciiTheme="majorBidi" w:hAnsiTheme="majorBidi" w:cstheme="majorBidi"/>
          <w:b/>
          <w:bCs/>
          <w:sz w:val="24"/>
          <w:szCs w:val="24"/>
          <w:lang w:bidi="ar-EG"/>
        </w:rPr>
        <w:t>s:</w:t>
      </w:r>
    </w:p>
    <w:p w14:paraId="1E30CAD8" w14:textId="77777777" w:rsidR="00096213" w:rsidRPr="00096213" w:rsidRDefault="00096213" w:rsidP="00096213">
      <w:pPr>
        <w:bidi w:val="0"/>
        <w:spacing w:after="0" w:line="276" w:lineRule="auto"/>
        <w:ind w:firstLine="720"/>
        <w:jc w:val="both"/>
        <w:rPr>
          <w:rFonts w:asciiTheme="majorBidi" w:hAnsiTheme="majorBidi" w:cstheme="majorBidi"/>
          <w:bCs/>
          <w:sz w:val="24"/>
          <w:szCs w:val="24"/>
          <w:lang w:bidi="ar-EG"/>
        </w:rPr>
      </w:pPr>
      <w:r w:rsidRPr="00096213">
        <w:rPr>
          <w:rFonts w:asciiTheme="majorBidi" w:hAnsiTheme="majorBidi" w:cstheme="majorBidi"/>
          <w:bCs/>
          <w:sz w:val="24"/>
          <w:szCs w:val="24"/>
          <w:lang w:bidi="ar-EG"/>
        </w:rPr>
        <w:t>Histopathological examination of the kidney of control cases showed normal architecture in all cases in the form of cortex contains normal renal corpuscles. Well-arranged renal glomeruli and tubules were observed.</w:t>
      </w:r>
    </w:p>
    <w:p w14:paraId="50E29091" w14:textId="059618C4" w:rsidR="00096213" w:rsidRPr="00096213" w:rsidRDefault="00096213" w:rsidP="00096213">
      <w:pPr>
        <w:numPr>
          <w:ilvl w:val="1"/>
          <w:numId w:val="14"/>
        </w:numPr>
        <w:bidi w:val="0"/>
        <w:spacing w:after="0" w:line="276" w:lineRule="auto"/>
        <w:jc w:val="both"/>
        <w:rPr>
          <w:rFonts w:asciiTheme="majorBidi" w:hAnsiTheme="majorBidi" w:cstheme="majorBidi"/>
          <w:b/>
          <w:bCs/>
          <w:sz w:val="24"/>
          <w:szCs w:val="24"/>
          <w:lang w:bidi="ar-EG"/>
        </w:rPr>
      </w:pPr>
      <w:r w:rsidRPr="00096213">
        <w:rPr>
          <w:rFonts w:asciiTheme="majorBidi" w:hAnsiTheme="majorBidi" w:cstheme="majorBidi"/>
          <w:b/>
          <w:bCs/>
          <w:sz w:val="24"/>
          <w:szCs w:val="24"/>
          <w:lang w:bidi="ar-EG"/>
        </w:rPr>
        <w:t>Lung:</w:t>
      </w:r>
    </w:p>
    <w:p w14:paraId="1ED0EB30" w14:textId="77777777" w:rsidR="00096213" w:rsidRPr="00096213" w:rsidRDefault="00096213" w:rsidP="00096213">
      <w:pPr>
        <w:bidi w:val="0"/>
        <w:spacing w:after="0" w:line="276" w:lineRule="auto"/>
        <w:ind w:firstLine="720"/>
        <w:jc w:val="both"/>
        <w:rPr>
          <w:rFonts w:asciiTheme="majorBidi" w:hAnsiTheme="majorBidi" w:cstheme="majorBidi"/>
          <w:bCs/>
          <w:sz w:val="24"/>
          <w:szCs w:val="24"/>
          <w:lang w:bidi="ar-EG"/>
        </w:rPr>
      </w:pPr>
      <w:r w:rsidRPr="00096213">
        <w:rPr>
          <w:rFonts w:asciiTheme="majorBidi" w:hAnsiTheme="majorBidi" w:cstheme="majorBidi"/>
          <w:bCs/>
          <w:sz w:val="24"/>
          <w:szCs w:val="24"/>
          <w:lang w:bidi="ar-EG"/>
        </w:rPr>
        <w:t>Histopathological examination of the lung of most control cases showed normal architecture in all cases with alveoli lined with flattened epithelium and normal bronchial vessels.</w:t>
      </w:r>
    </w:p>
    <w:p w14:paraId="4FDB421D" w14:textId="69F1C403" w:rsidR="00096213" w:rsidRPr="00096213" w:rsidRDefault="00096213" w:rsidP="00096213">
      <w:pPr>
        <w:numPr>
          <w:ilvl w:val="1"/>
          <w:numId w:val="14"/>
        </w:numPr>
        <w:bidi w:val="0"/>
        <w:spacing w:after="0" w:line="276" w:lineRule="auto"/>
        <w:jc w:val="both"/>
        <w:rPr>
          <w:rFonts w:asciiTheme="majorBidi" w:hAnsiTheme="majorBidi" w:cstheme="majorBidi"/>
          <w:b/>
          <w:bCs/>
          <w:sz w:val="24"/>
          <w:szCs w:val="24"/>
          <w:lang w:bidi="ar-EG"/>
        </w:rPr>
      </w:pPr>
      <w:r w:rsidRPr="00096213">
        <w:rPr>
          <w:rFonts w:asciiTheme="majorBidi" w:hAnsiTheme="majorBidi" w:cstheme="majorBidi"/>
          <w:b/>
          <w:bCs/>
          <w:sz w:val="24"/>
          <w:szCs w:val="24"/>
          <w:lang w:bidi="ar-EG"/>
        </w:rPr>
        <w:t>Heart:</w:t>
      </w:r>
    </w:p>
    <w:p w14:paraId="29843CC9" w14:textId="77777777" w:rsidR="00096213" w:rsidRPr="00096213" w:rsidRDefault="00096213" w:rsidP="00096213">
      <w:pPr>
        <w:bidi w:val="0"/>
        <w:spacing w:after="0" w:line="276" w:lineRule="auto"/>
        <w:ind w:firstLine="720"/>
        <w:jc w:val="both"/>
        <w:rPr>
          <w:rFonts w:asciiTheme="majorBidi" w:hAnsiTheme="majorBidi" w:cstheme="majorBidi"/>
          <w:bCs/>
          <w:sz w:val="24"/>
          <w:szCs w:val="24"/>
          <w:lang w:bidi="ar-EG"/>
        </w:rPr>
      </w:pPr>
      <w:r w:rsidRPr="00096213">
        <w:rPr>
          <w:rFonts w:asciiTheme="majorBidi" w:hAnsiTheme="majorBidi" w:cstheme="majorBidi"/>
          <w:bCs/>
          <w:sz w:val="24"/>
          <w:szCs w:val="24"/>
          <w:lang w:bidi="ar-EG"/>
        </w:rPr>
        <w:t>Histopathological examination of the heart of all the control cases showing normal architecture of well-arranged myocardial cells.</w:t>
      </w:r>
    </w:p>
    <w:p w14:paraId="511CB439" w14:textId="747A8C7F" w:rsidR="00096213" w:rsidRPr="00096213" w:rsidRDefault="00096213" w:rsidP="00096213">
      <w:pPr>
        <w:numPr>
          <w:ilvl w:val="1"/>
          <w:numId w:val="14"/>
        </w:numPr>
        <w:bidi w:val="0"/>
        <w:spacing w:after="0" w:line="276" w:lineRule="auto"/>
        <w:jc w:val="both"/>
        <w:rPr>
          <w:rFonts w:asciiTheme="majorBidi" w:hAnsiTheme="majorBidi" w:cstheme="majorBidi"/>
          <w:bCs/>
          <w:sz w:val="24"/>
          <w:szCs w:val="24"/>
          <w:lang w:bidi="ar-EG"/>
        </w:rPr>
      </w:pPr>
      <w:r w:rsidRPr="00096213">
        <w:rPr>
          <w:rFonts w:asciiTheme="majorBidi" w:hAnsiTheme="majorBidi" w:cstheme="majorBidi"/>
          <w:b/>
          <w:bCs/>
          <w:sz w:val="24"/>
          <w:szCs w:val="24"/>
          <w:lang w:bidi="ar-EG"/>
        </w:rPr>
        <w:t>Liver:</w:t>
      </w:r>
      <w:r w:rsidRPr="00096213">
        <w:rPr>
          <w:rFonts w:asciiTheme="majorBidi" w:hAnsiTheme="majorBidi" w:cstheme="majorBidi" w:hint="cs"/>
          <w:b/>
          <w:bCs/>
          <w:sz w:val="24"/>
          <w:szCs w:val="24"/>
          <w:rtl/>
          <w:lang w:val="en-GB"/>
        </w:rPr>
        <w:t xml:space="preserve"> </w:t>
      </w:r>
    </w:p>
    <w:p w14:paraId="553ADA4E" w14:textId="77777777" w:rsidR="00096213" w:rsidRPr="00096213" w:rsidRDefault="00096213" w:rsidP="00096213">
      <w:pPr>
        <w:bidi w:val="0"/>
        <w:spacing w:after="0" w:line="276" w:lineRule="auto"/>
        <w:ind w:firstLine="720"/>
        <w:jc w:val="both"/>
        <w:rPr>
          <w:rFonts w:asciiTheme="majorBidi" w:hAnsiTheme="majorBidi" w:cstheme="majorBidi"/>
          <w:bCs/>
          <w:sz w:val="24"/>
          <w:szCs w:val="24"/>
          <w:lang w:bidi="ar-EG"/>
        </w:rPr>
      </w:pPr>
      <w:r w:rsidRPr="00096213">
        <w:rPr>
          <w:rFonts w:asciiTheme="majorBidi" w:hAnsiTheme="majorBidi" w:cstheme="majorBidi"/>
          <w:bCs/>
          <w:sz w:val="24"/>
          <w:szCs w:val="24"/>
          <w:lang w:bidi="ar-EG"/>
        </w:rPr>
        <w:t>Histopathological examination of the liver of the control cases showed normal architecture in all cases in the form of hepatocytes arranged in hepatic plates radiating from central vein. Hepatocyte is polygonal in shape; cytoplasm is acidophilic with one or more round nucleus. Portal canal with normal vessels present at some angles of hepatic tubules.</w:t>
      </w:r>
    </w:p>
    <w:p w14:paraId="261D276D" w14:textId="77777777" w:rsidR="00096213" w:rsidRPr="00096213" w:rsidRDefault="00096213" w:rsidP="00096213">
      <w:pPr>
        <w:bidi w:val="0"/>
        <w:spacing w:after="0" w:line="276" w:lineRule="auto"/>
        <w:jc w:val="both"/>
        <w:rPr>
          <w:rFonts w:asciiTheme="majorBidi" w:hAnsiTheme="majorBidi" w:cstheme="majorBidi"/>
          <w:bCs/>
          <w:i/>
          <w:sz w:val="24"/>
          <w:szCs w:val="24"/>
          <w:u w:val="single"/>
          <w:lang w:bidi="ar-EG"/>
        </w:rPr>
      </w:pPr>
    </w:p>
    <w:p w14:paraId="4A0E9BE6" w14:textId="1E510AEF" w:rsidR="002B5824" w:rsidRPr="000A7A20" w:rsidRDefault="002B5824" w:rsidP="00096213">
      <w:pPr>
        <w:bidi w:val="0"/>
        <w:spacing w:after="0" w:line="276" w:lineRule="auto"/>
        <w:jc w:val="both"/>
        <w:rPr>
          <w:rFonts w:asciiTheme="majorBidi" w:hAnsiTheme="majorBidi" w:cstheme="majorBidi"/>
          <w:bCs/>
          <w:i/>
          <w:sz w:val="24"/>
          <w:szCs w:val="24"/>
          <w:u w:val="single"/>
          <w:lang w:val="en-GB" w:bidi="ar-EG"/>
        </w:rPr>
      </w:pPr>
      <w:r w:rsidRPr="000A7A20">
        <w:rPr>
          <w:rFonts w:asciiTheme="majorBidi" w:hAnsiTheme="majorBidi" w:cstheme="majorBidi"/>
          <w:bCs/>
          <w:i/>
          <w:sz w:val="24"/>
          <w:szCs w:val="24"/>
          <w:u w:val="single"/>
          <w:lang w:val="en-GB" w:bidi="ar-EG"/>
        </w:rPr>
        <w:t>The following histopathological findings were observed in the study cases aluminium phosphide poisoning deaths</w:t>
      </w:r>
      <w:r w:rsidR="000A7A20" w:rsidRPr="000A7A20">
        <w:rPr>
          <w:rFonts w:asciiTheme="majorBidi" w:hAnsiTheme="majorBidi" w:cstheme="majorBidi"/>
          <w:bCs/>
          <w:i/>
          <w:sz w:val="24"/>
          <w:szCs w:val="24"/>
          <w:u w:val="single"/>
          <w:lang w:val="en-GB" w:bidi="ar-EG"/>
        </w:rPr>
        <w:tab/>
      </w:r>
      <w:r w:rsidR="000A7A20" w:rsidRPr="000A7A20">
        <w:rPr>
          <w:rFonts w:asciiTheme="majorBidi" w:hAnsiTheme="majorBidi" w:cstheme="majorBidi"/>
          <w:b/>
          <w:i/>
          <w:sz w:val="24"/>
          <w:szCs w:val="24"/>
          <w:u w:val="single"/>
          <w:lang w:val="en-GB" w:bidi="ar-EG"/>
        </w:rPr>
        <w:t>(Tab 1, Fig 1,2)</w:t>
      </w:r>
      <w:r w:rsidRPr="000A7A20">
        <w:rPr>
          <w:rFonts w:asciiTheme="majorBidi" w:hAnsiTheme="majorBidi" w:cstheme="majorBidi"/>
          <w:b/>
          <w:i/>
          <w:sz w:val="24"/>
          <w:szCs w:val="24"/>
          <w:u w:val="single"/>
          <w:lang w:val="en-GB" w:bidi="ar-EG"/>
        </w:rPr>
        <w:t>:</w:t>
      </w:r>
    </w:p>
    <w:p w14:paraId="2D7F94EE" w14:textId="150EDCFD" w:rsidR="002B5824" w:rsidRPr="002B5824" w:rsidRDefault="002B5824" w:rsidP="001456A5">
      <w:pPr>
        <w:numPr>
          <w:ilvl w:val="1"/>
          <w:numId w:val="14"/>
        </w:numPr>
        <w:bidi w:val="0"/>
        <w:spacing w:after="0" w:line="276" w:lineRule="auto"/>
        <w:jc w:val="both"/>
        <w:rPr>
          <w:rFonts w:asciiTheme="majorBidi" w:hAnsiTheme="majorBidi" w:cstheme="majorBidi"/>
          <w:b/>
          <w:iCs/>
          <w:sz w:val="24"/>
          <w:szCs w:val="24"/>
          <w:lang w:bidi="ar-EG"/>
        </w:rPr>
      </w:pPr>
      <w:r w:rsidRPr="002B5824">
        <w:rPr>
          <w:rFonts w:asciiTheme="majorBidi" w:hAnsiTheme="majorBidi" w:cstheme="majorBidi"/>
          <w:b/>
          <w:iCs/>
          <w:sz w:val="24"/>
          <w:szCs w:val="24"/>
          <w:lang w:bidi="ar-EG"/>
        </w:rPr>
        <w:t xml:space="preserve">Stomach: </w:t>
      </w:r>
    </w:p>
    <w:p w14:paraId="7B004E60" w14:textId="56354716" w:rsidR="00D03F22" w:rsidRPr="00D03F22" w:rsidRDefault="00D03F22" w:rsidP="00D03F22">
      <w:pPr>
        <w:bidi w:val="0"/>
        <w:spacing w:after="0" w:line="276" w:lineRule="auto"/>
        <w:ind w:firstLine="720"/>
        <w:jc w:val="both"/>
        <w:rPr>
          <w:rFonts w:asciiTheme="majorBidi" w:hAnsiTheme="majorBidi" w:cstheme="majorBidi"/>
          <w:b/>
          <w:iCs/>
          <w:sz w:val="24"/>
          <w:szCs w:val="24"/>
          <w:lang w:bidi="ar-EG"/>
        </w:rPr>
      </w:pPr>
      <w:r w:rsidRPr="00D03F22">
        <w:rPr>
          <w:rFonts w:asciiTheme="majorBidi" w:hAnsiTheme="majorBidi" w:cstheme="majorBidi"/>
          <w:bCs/>
          <w:iCs/>
          <w:sz w:val="24"/>
          <w:szCs w:val="24"/>
          <w:lang w:bidi="ar-EG"/>
        </w:rPr>
        <w:t xml:space="preserve">On microscopic examination, the stomach wall was congested in all hospitalized cases, with patchy submucosal congestion in the remaining instances. Edema was seen in all cases, ranging from mild to severe. All of the cases had necrosis of the mucosa of the fundus region, and 5 had necrosis in other parts of the stomach in addition to the fundus region. In seven cases, </w:t>
      </w:r>
      <w:r>
        <w:rPr>
          <w:rFonts w:asciiTheme="majorBidi" w:hAnsiTheme="majorBidi" w:cstheme="majorBidi"/>
          <w:bCs/>
          <w:iCs/>
          <w:sz w:val="24"/>
          <w:szCs w:val="24"/>
          <w:lang w:bidi="ar-EG"/>
        </w:rPr>
        <w:t>inflammatory</w:t>
      </w:r>
      <w:r w:rsidRPr="00D03F22">
        <w:rPr>
          <w:rFonts w:asciiTheme="majorBidi" w:hAnsiTheme="majorBidi" w:cstheme="majorBidi"/>
          <w:bCs/>
          <w:iCs/>
          <w:sz w:val="24"/>
          <w:szCs w:val="24"/>
          <w:lang w:bidi="ar-EG"/>
        </w:rPr>
        <w:t xml:space="preserve"> cell invasion reached the muscle layer.</w:t>
      </w:r>
    </w:p>
    <w:p w14:paraId="04B9C3E8" w14:textId="672E6C5E" w:rsidR="002B5824" w:rsidRPr="002B5824" w:rsidRDefault="002B5824" w:rsidP="00D03F22">
      <w:pPr>
        <w:numPr>
          <w:ilvl w:val="1"/>
          <w:numId w:val="14"/>
        </w:numPr>
        <w:bidi w:val="0"/>
        <w:spacing w:after="0" w:line="276" w:lineRule="auto"/>
        <w:jc w:val="both"/>
        <w:rPr>
          <w:rFonts w:asciiTheme="majorBidi" w:hAnsiTheme="majorBidi" w:cstheme="majorBidi"/>
          <w:b/>
          <w:iCs/>
          <w:sz w:val="24"/>
          <w:szCs w:val="24"/>
          <w:lang w:bidi="ar-EG"/>
        </w:rPr>
      </w:pPr>
      <w:r w:rsidRPr="002B5824">
        <w:rPr>
          <w:rFonts w:asciiTheme="majorBidi" w:hAnsiTheme="majorBidi" w:cstheme="majorBidi"/>
          <w:b/>
          <w:iCs/>
          <w:sz w:val="24"/>
          <w:szCs w:val="24"/>
          <w:lang w:bidi="ar-EG"/>
        </w:rPr>
        <w:t>Small intestine:</w:t>
      </w:r>
    </w:p>
    <w:p w14:paraId="6050B070" w14:textId="77777777" w:rsidR="00A704E0" w:rsidRDefault="00A704E0" w:rsidP="00A704E0">
      <w:pPr>
        <w:bidi w:val="0"/>
        <w:spacing w:after="0" w:line="276" w:lineRule="auto"/>
        <w:ind w:firstLine="720"/>
        <w:jc w:val="both"/>
        <w:rPr>
          <w:rFonts w:asciiTheme="majorBidi" w:hAnsiTheme="majorBidi" w:cstheme="majorBidi"/>
          <w:bCs/>
          <w:iCs/>
          <w:sz w:val="24"/>
          <w:szCs w:val="24"/>
          <w:lang w:bidi="ar-EG"/>
        </w:rPr>
      </w:pPr>
      <w:r w:rsidRPr="00A704E0">
        <w:rPr>
          <w:rFonts w:asciiTheme="majorBidi" w:hAnsiTheme="majorBidi" w:cstheme="majorBidi"/>
          <w:bCs/>
          <w:iCs/>
          <w:sz w:val="24"/>
          <w:szCs w:val="24"/>
          <w:lang w:bidi="ar-EG"/>
        </w:rPr>
        <w:t>On microscopic examination, the intestinal wall of the duodenum was congested and edematous in each case. All of the cases involved duodenal mucosal necrosis, but in three of them, the muscular layer was also affected.</w:t>
      </w:r>
    </w:p>
    <w:p w14:paraId="600E2CB2" w14:textId="2D66EAF6" w:rsidR="002B5824" w:rsidRPr="00A704E0" w:rsidRDefault="002B5824" w:rsidP="00A704E0">
      <w:pPr>
        <w:pStyle w:val="ListParagraph"/>
        <w:numPr>
          <w:ilvl w:val="0"/>
          <w:numId w:val="12"/>
        </w:numPr>
        <w:bidi w:val="0"/>
        <w:spacing w:after="0" w:line="276" w:lineRule="auto"/>
        <w:jc w:val="both"/>
        <w:rPr>
          <w:rFonts w:asciiTheme="majorBidi" w:hAnsiTheme="majorBidi" w:cstheme="majorBidi"/>
          <w:b/>
          <w:iCs/>
          <w:sz w:val="24"/>
          <w:szCs w:val="24"/>
          <w:lang w:bidi="ar-EG"/>
        </w:rPr>
      </w:pPr>
      <w:r w:rsidRPr="00A704E0">
        <w:rPr>
          <w:rFonts w:asciiTheme="majorBidi" w:hAnsiTheme="majorBidi" w:cstheme="majorBidi"/>
          <w:b/>
          <w:iCs/>
          <w:sz w:val="24"/>
          <w:szCs w:val="24"/>
          <w:lang w:bidi="ar-EG"/>
        </w:rPr>
        <w:t>Kidneys:</w:t>
      </w:r>
    </w:p>
    <w:p w14:paraId="1AD5A1D3" w14:textId="752FFCAC" w:rsidR="002B5824" w:rsidRPr="002B5824" w:rsidRDefault="00A704E0" w:rsidP="001456A5">
      <w:pPr>
        <w:bidi w:val="0"/>
        <w:spacing w:after="0" w:line="276" w:lineRule="auto"/>
        <w:ind w:firstLine="360"/>
        <w:jc w:val="both"/>
        <w:rPr>
          <w:rFonts w:asciiTheme="majorBidi" w:hAnsiTheme="majorBidi" w:cstheme="majorBidi"/>
          <w:bCs/>
          <w:iCs/>
          <w:sz w:val="24"/>
          <w:szCs w:val="24"/>
          <w:lang w:bidi="ar-EG"/>
        </w:rPr>
      </w:pPr>
      <w:bookmarkStart w:id="4" w:name="_Hlk110334417"/>
      <w:r w:rsidRPr="00A704E0">
        <w:rPr>
          <w:rFonts w:asciiTheme="majorBidi" w:hAnsiTheme="majorBidi" w:cstheme="majorBidi"/>
          <w:bCs/>
          <w:iCs/>
          <w:sz w:val="24"/>
          <w:szCs w:val="24"/>
          <w:lang w:bidi="ar-EG"/>
        </w:rPr>
        <w:t>All of the cases involved congested kidneys. In each case, there was tubular dilating, edema, necrosis, and areas of tubular epithelial disintegration.</w:t>
      </w:r>
      <w:r>
        <w:rPr>
          <w:rFonts w:asciiTheme="majorBidi" w:hAnsiTheme="majorBidi" w:cstheme="majorBidi"/>
          <w:bCs/>
          <w:iCs/>
          <w:sz w:val="24"/>
          <w:szCs w:val="24"/>
          <w:lang w:bidi="ar-EG"/>
        </w:rPr>
        <w:t xml:space="preserve"> There were</w:t>
      </w:r>
      <w:r w:rsidR="002B5824" w:rsidRPr="002B5824">
        <w:rPr>
          <w:rFonts w:asciiTheme="majorBidi" w:hAnsiTheme="majorBidi" w:cstheme="majorBidi"/>
          <w:bCs/>
          <w:iCs/>
          <w:sz w:val="24"/>
          <w:szCs w:val="24"/>
          <w:lang w:bidi="ar-EG"/>
        </w:rPr>
        <w:t xml:space="preserve"> </w:t>
      </w:r>
      <w:bookmarkStart w:id="5" w:name="_Hlk110334839"/>
      <w:r>
        <w:rPr>
          <w:rFonts w:asciiTheme="majorBidi" w:hAnsiTheme="majorBidi" w:cstheme="majorBidi"/>
          <w:bCs/>
          <w:iCs/>
          <w:sz w:val="24"/>
          <w:szCs w:val="24"/>
          <w:lang w:bidi="ar-EG"/>
        </w:rPr>
        <w:t>i</w:t>
      </w:r>
      <w:r w:rsidR="002B5824" w:rsidRPr="002B5824">
        <w:rPr>
          <w:rFonts w:asciiTheme="majorBidi" w:hAnsiTheme="majorBidi" w:cstheme="majorBidi"/>
          <w:bCs/>
          <w:iCs/>
          <w:sz w:val="24"/>
          <w:szCs w:val="24"/>
          <w:lang w:bidi="ar-EG"/>
        </w:rPr>
        <w:t xml:space="preserve">nflammatory cell infiltration &amp; intratubular hemorrhage in 4 cases. </w:t>
      </w:r>
      <w:bookmarkEnd w:id="5"/>
      <w:r w:rsidR="002B5824" w:rsidRPr="002B5824">
        <w:rPr>
          <w:rFonts w:asciiTheme="majorBidi" w:hAnsiTheme="majorBidi" w:cstheme="majorBidi"/>
          <w:bCs/>
          <w:iCs/>
          <w:sz w:val="24"/>
          <w:szCs w:val="24"/>
          <w:lang w:bidi="ar-EG"/>
        </w:rPr>
        <w:t>Also, there was glomerular necrosis in all the cases.</w:t>
      </w:r>
    </w:p>
    <w:bookmarkEnd w:id="4"/>
    <w:p w14:paraId="10ADEA7B" w14:textId="12C9DFE1" w:rsidR="002B5824" w:rsidRPr="002B5824" w:rsidRDefault="002B5824" w:rsidP="001456A5">
      <w:pPr>
        <w:numPr>
          <w:ilvl w:val="1"/>
          <w:numId w:val="14"/>
        </w:numPr>
        <w:bidi w:val="0"/>
        <w:spacing w:after="0" w:line="276" w:lineRule="auto"/>
        <w:jc w:val="both"/>
        <w:rPr>
          <w:rFonts w:asciiTheme="majorBidi" w:hAnsiTheme="majorBidi" w:cstheme="majorBidi"/>
          <w:b/>
          <w:iCs/>
          <w:sz w:val="24"/>
          <w:szCs w:val="24"/>
          <w:lang w:bidi="ar-EG"/>
        </w:rPr>
      </w:pPr>
      <w:r w:rsidRPr="002B5824">
        <w:rPr>
          <w:rFonts w:asciiTheme="majorBidi" w:hAnsiTheme="majorBidi" w:cstheme="majorBidi"/>
          <w:b/>
          <w:iCs/>
          <w:sz w:val="24"/>
          <w:szCs w:val="24"/>
          <w:lang w:bidi="ar-EG"/>
        </w:rPr>
        <w:t>Lung:</w:t>
      </w:r>
    </w:p>
    <w:p w14:paraId="344BF135" w14:textId="0F6B25DC" w:rsidR="0061015D" w:rsidRDefault="002B5824" w:rsidP="0061015D">
      <w:pPr>
        <w:bidi w:val="0"/>
        <w:spacing w:after="0" w:line="276" w:lineRule="auto"/>
        <w:ind w:firstLine="360"/>
        <w:jc w:val="both"/>
        <w:rPr>
          <w:rFonts w:asciiTheme="majorBidi" w:hAnsiTheme="majorBidi" w:cstheme="majorBidi"/>
          <w:bCs/>
          <w:iCs/>
          <w:sz w:val="24"/>
          <w:szCs w:val="24"/>
          <w:lang w:bidi="ar-EG"/>
        </w:rPr>
      </w:pPr>
      <w:r w:rsidRPr="002B5824">
        <w:rPr>
          <w:rFonts w:asciiTheme="majorBidi" w:hAnsiTheme="majorBidi" w:cstheme="majorBidi"/>
          <w:bCs/>
          <w:iCs/>
          <w:sz w:val="24"/>
          <w:szCs w:val="24"/>
          <w:lang w:bidi="ar-EG"/>
        </w:rPr>
        <w:t xml:space="preserve">On microscopic examination of lungs, all cases showed </w:t>
      </w:r>
      <w:bookmarkStart w:id="6" w:name="_Hlk111058288"/>
      <w:r w:rsidRPr="002B5824">
        <w:rPr>
          <w:rFonts w:asciiTheme="majorBidi" w:hAnsiTheme="majorBidi" w:cstheme="majorBidi"/>
          <w:bCs/>
          <w:iCs/>
          <w:sz w:val="24"/>
          <w:szCs w:val="24"/>
          <w:lang w:bidi="ar-EG"/>
        </w:rPr>
        <w:t>congestion and edema</w:t>
      </w:r>
      <w:bookmarkEnd w:id="6"/>
      <w:r w:rsidRPr="002B5824">
        <w:rPr>
          <w:rFonts w:asciiTheme="majorBidi" w:hAnsiTheme="majorBidi" w:cstheme="majorBidi"/>
          <w:bCs/>
          <w:iCs/>
          <w:sz w:val="24"/>
          <w:szCs w:val="24"/>
          <w:lang w:bidi="ar-EG"/>
        </w:rPr>
        <w:t xml:space="preserve">, which varied from mild to severe. </w:t>
      </w:r>
      <w:r w:rsidR="0061015D" w:rsidRPr="0061015D">
        <w:rPr>
          <w:rFonts w:asciiTheme="majorBidi" w:hAnsiTheme="majorBidi" w:cstheme="majorBidi"/>
          <w:bCs/>
          <w:iCs/>
          <w:sz w:val="24"/>
          <w:szCs w:val="24"/>
          <w:lang w:bidi="ar-EG"/>
        </w:rPr>
        <w:t xml:space="preserve">In all cases, hemolyzed red cells and dilated capillaries thickened the alveoli, and </w:t>
      </w:r>
      <w:r w:rsidR="0061015D">
        <w:rPr>
          <w:rFonts w:asciiTheme="majorBidi" w:hAnsiTheme="majorBidi" w:cstheme="majorBidi"/>
          <w:bCs/>
          <w:iCs/>
          <w:sz w:val="24"/>
          <w:szCs w:val="24"/>
          <w:lang w:bidi="ar-EG"/>
        </w:rPr>
        <w:t>2</w:t>
      </w:r>
      <w:r w:rsidR="0061015D" w:rsidRPr="0061015D">
        <w:rPr>
          <w:rFonts w:asciiTheme="majorBidi" w:hAnsiTheme="majorBidi" w:cstheme="majorBidi"/>
          <w:bCs/>
          <w:iCs/>
          <w:sz w:val="24"/>
          <w:szCs w:val="24"/>
          <w:lang w:bidi="ar-EG"/>
        </w:rPr>
        <w:t xml:space="preserve"> cases also showed cell infiltration around the bronchioles.</w:t>
      </w:r>
    </w:p>
    <w:p w14:paraId="293B84E1" w14:textId="0B0AB199" w:rsidR="002B5824" w:rsidRPr="0061015D" w:rsidRDefault="002B5824" w:rsidP="0061015D">
      <w:pPr>
        <w:pStyle w:val="ListParagraph"/>
        <w:numPr>
          <w:ilvl w:val="1"/>
          <w:numId w:val="14"/>
        </w:numPr>
        <w:bidi w:val="0"/>
        <w:spacing w:after="0" w:line="276" w:lineRule="auto"/>
        <w:jc w:val="both"/>
        <w:rPr>
          <w:rFonts w:asciiTheme="majorBidi" w:hAnsiTheme="majorBidi" w:cstheme="majorBidi"/>
          <w:b/>
          <w:iCs/>
          <w:sz w:val="24"/>
          <w:szCs w:val="24"/>
          <w:lang w:bidi="ar-EG"/>
        </w:rPr>
      </w:pPr>
      <w:r w:rsidRPr="0061015D">
        <w:rPr>
          <w:rFonts w:asciiTheme="majorBidi" w:hAnsiTheme="majorBidi" w:cstheme="majorBidi"/>
          <w:b/>
          <w:iCs/>
          <w:sz w:val="24"/>
          <w:szCs w:val="24"/>
          <w:lang w:bidi="ar-EG"/>
        </w:rPr>
        <w:t>Heart:</w:t>
      </w:r>
    </w:p>
    <w:p w14:paraId="4FC7C18D" w14:textId="77777777" w:rsidR="0061015D" w:rsidRPr="0061015D" w:rsidRDefault="0061015D" w:rsidP="0061015D">
      <w:pPr>
        <w:bidi w:val="0"/>
        <w:spacing w:after="0" w:line="276" w:lineRule="auto"/>
        <w:ind w:firstLine="720"/>
        <w:jc w:val="both"/>
        <w:rPr>
          <w:rFonts w:asciiTheme="majorBidi" w:hAnsiTheme="majorBidi" w:cstheme="majorBidi"/>
          <w:b/>
          <w:iCs/>
          <w:sz w:val="24"/>
          <w:szCs w:val="24"/>
          <w:lang w:bidi="ar-EG"/>
        </w:rPr>
      </w:pPr>
      <w:r w:rsidRPr="0061015D">
        <w:rPr>
          <w:rFonts w:asciiTheme="majorBidi" w:hAnsiTheme="majorBidi" w:cstheme="majorBidi"/>
          <w:bCs/>
          <w:iCs/>
          <w:sz w:val="24"/>
          <w:szCs w:val="24"/>
          <w:lang w:bidi="ar-EG"/>
        </w:rPr>
        <w:t xml:space="preserve">All of the cases had </w:t>
      </w:r>
      <w:bookmarkStart w:id="7" w:name="_Hlk111578758"/>
      <w:r w:rsidRPr="0061015D">
        <w:rPr>
          <w:rFonts w:asciiTheme="majorBidi" w:hAnsiTheme="majorBidi" w:cstheme="majorBidi"/>
          <w:bCs/>
          <w:iCs/>
          <w:sz w:val="24"/>
          <w:szCs w:val="24"/>
          <w:lang w:bidi="ar-EG"/>
        </w:rPr>
        <w:t>congested</w:t>
      </w:r>
      <w:bookmarkEnd w:id="7"/>
      <w:r w:rsidRPr="0061015D">
        <w:rPr>
          <w:rFonts w:asciiTheme="majorBidi" w:hAnsiTheme="majorBidi" w:cstheme="majorBidi"/>
          <w:bCs/>
          <w:iCs/>
          <w:sz w:val="24"/>
          <w:szCs w:val="24"/>
          <w:lang w:bidi="ar-EG"/>
        </w:rPr>
        <w:t xml:space="preserve"> and edematous myocardium, with focal myocardial necrosis identified in 9 cases and inflammatory cell infiltration seen in 3.</w:t>
      </w:r>
    </w:p>
    <w:p w14:paraId="2C898111" w14:textId="308DECF2" w:rsidR="002B5824" w:rsidRPr="002B5824" w:rsidRDefault="002B5824" w:rsidP="0061015D">
      <w:pPr>
        <w:numPr>
          <w:ilvl w:val="1"/>
          <w:numId w:val="14"/>
        </w:numPr>
        <w:bidi w:val="0"/>
        <w:spacing w:after="0" w:line="276" w:lineRule="auto"/>
        <w:jc w:val="both"/>
        <w:rPr>
          <w:rFonts w:asciiTheme="majorBidi" w:hAnsiTheme="majorBidi" w:cstheme="majorBidi"/>
          <w:b/>
          <w:iCs/>
          <w:sz w:val="24"/>
          <w:szCs w:val="24"/>
          <w:lang w:bidi="ar-EG"/>
        </w:rPr>
      </w:pPr>
      <w:r w:rsidRPr="002B5824">
        <w:rPr>
          <w:rFonts w:asciiTheme="majorBidi" w:hAnsiTheme="majorBidi" w:cstheme="majorBidi"/>
          <w:b/>
          <w:iCs/>
          <w:sz w:val="24"/>
          <w:szCs w:val="24"/>
          <w:lang w:bidi="ar-EG"/>
        </w:rPr>
        <w:t>Liver:</w:t>
      </w:r>
    </w:p>
    <w:p w14:paraId="3FD29E3A" w14:textId="0E31EEA2" w:rsidR="001C4C04" w:rsidRDefault="001C4C04" w:rsidP="001C4C04">
      <w:pPr>
        <w:bidi w:val="0"/>
        <w:spacing w:after="0" w:line="276" w:lineRule="auto"/>
        <w:jc w:val="both"/>
        <w:rPr>
          <w:rFonts w:asciiTheme="majorBidi" w:hAnsiTheme="majorBidi" w:cstheme="majorBidi"/>
          <w:bCs/>
          <w:iCs/>
          <w:sz w:val="24"/>
          <w:szCs w:val="24"/>
          <w:lang w:bidi="ar-EG"/>
        </w:rPr>
      </w:pPr>
      <w:r>
        <w:rPr>
          <w:rFonts w:asciiTheme="majorBidi" w:hAnsiTheme="majorBidi" w:cstheme="majorBidi"/>
          <w:bCs/>
          <w:iCs/>
          <w:sz w:val="24"/>
          <w:szCs w:val="24"/>
          <w:lang w:bidi="ar-EG"/>
        </w:rPr>
        <w:t>L</w:t>
      </w:r>
      <w:r w:rsidRPr="001C4C04">
        <w:rPr>
          <w:rFonts w:asciiTheme="majorBidi" w:hAnsiTheme="majorBidi" w:cstheme="majorBidi"/>
          <w:bCs/>
          <w:iCs/>
          <w:sz w:val="24"/>
          <w:szCs w:val="24"/>
          <w:lang w:bidi="ar-EG"/>
        </w:rPr>
        <w:t>iver was congested</w:t>
      </w:r>
      <w:r>
        <w:rPr>
          <w:rFonts w:asciiTheme="majorBidi" w:hAnsiTheme="majorBidi" w:cstheme="majorBidi"/>
          <w:bCs/>
          <w:iCs/>
          <w:sz w:val="24"/>
          <w:szCs w:val="24"/>
          <w:lang w:bidi="ar-EG"/>
        </w:rPr>
        <w:t xml:space="preserve"> in all cases</w:t>
      </w:r>
      <w:r w:rsidRPr="001C4C04">
        <w:rPr>
          <w:rFonts w:asciiTheme="majorBidi" w:hAnsiTheme="majorBidi" w:cstheme="majorBidi"/>
          <w:bCs/>
          <w:iCs/>
          <w:sz w:val="24"/>
          <w:szCs w:val="24"/>
          <w:lang w:bidi="ar-EG"/>
        </w:rPr>
        <w:t xml:space="preserve">; </w:t>
      </w:r>
      <w:r w:rsidR="000436B4">
        <w:rPr>
          <w:rFonts w:asciiTheme="majorBidi" w:hAnsiTheme="majorBidi" w:cstheme="majorBidi"/>
          <w:bCs/>
          <w:iCs/>
          <w:sz w:val="24"/>
          <w:szCs w:val="24"/>
          <w:lang w:bidi="ar-EG"/>
        </w:rPr>
        <w:t>mild</w:t>
      </w:r>
      <w:r w:rsidRPr="001C4C04">
        <w:rPr>
          <w:rFonts w:asciiTheme="majorBidi" w:hAnsiTheme="majorBidi" w:cstheme="majorBidi"/>
          <w:bCs/>
          <w:iCs/>
          <w:sz w:val="24"/>
          <w:szCs w:val="24"/>
          <w:lang w:bidi="ar-EG"/>
        </w:rPr>
        <w:t xml:space="preserve"> fatty alteration was observed in </w:t>
      </w:r>
      <w:r w:rsidR="000436B4">
        <w:rPr>
          <w:rFonts w:asciiTheme="majorBidi" w:hAnsiTheme="majorBidi" w:cstheme="majorBidi"/>
          <w:bCs/>
          <w:iCs/>
          <w:sz w:val="24"/>
          <w:szCs w:val="24"/>
          <w:lang w:bidi="ar-EG"/>
        </w:rPr>
        <w:t>6</w:t>
      </w:r>
      <w:r w:rsidRPr="001C4C04">
        <w:rPr>
          <w:rFonts w:asciiTheme="majorBidi" w:hAnsiTheme="majorBidi" w:cstheme="majorBidi"/>
          <w:bCs/>
          <w:iCs/>
          <w:sz w:val="24"/>
          <w:szCs w:val="24"/>
          <w:lang w:bidi="ar-EG"/>
        </w:rPr>
        <w:t xml:space="preserve"> cases; and patches of Centrizonal hemorrhagic necrosis were observed in all cases.</w:t>
      </w:r>
    </w:p>
    <w:p w14:paraId="70706AFD" w14:textId="6A364A70" w:rsidR="002B5824" w:rsidRPr="001C4C04" w:rsidRDefault="002B5824" w:rsidP="001C4C04">
      <w:pPr>
        <w:pStyle w:val="ListParagraph"/>
        <w:numPr>
          <w:ilvl w:val="1"/>
          <w:numId w:val="14"/>
        </w:numPr>
        <w:bidi w:val="0"/>
        <w:spacing w:after="0" w:line="276" w:lineRule="auto"/>
        <w:jc w:val="both"/>
        <w:rPr>
          <w:rFonts w:asciiTheme="majorBidi" w:hAnsiTheme="majorBidi" w:cstheme="majorBidi"/>
          <w:b/>
          <w:iCs/>
          <w:sz w:val="24"/>
          <w:szCs w:val="24"/>
          <w:lang w:bidi="ar-EG"/>
        </w:rPr>
      </w:pPr>
      <w:r w:rsidRPr="001C4C04">
        <w:rPr>
          <w:rFonts w:asciiTheme="majorBidi" w:hAnsiTheme="majorBidi" w:cstheme="majorBidi"/>
          <w:b/>
          <w:iCs/>
          <w:sz w:val="24"/>
          <w:szCs w:val="24"/>
          <w:lang w:bidi="ar-EG"/>
        </w:rPr>
        <w:t>Spleen:</w:t>
      </w:r>
    </w:p>
    <w:p w14:paraId="2693BBE4" w14:textId="23234B34" w:rsidR="002B5824" w:rsidRPr="002B5824" w:rsidRDefault="000436B4" w:rsidP="002B5824">
      <w:pPr>
        <w:bidi w:val="0"/>
        <w:spacing w:after="0" w:line="240" w:lineRule="auto"/>
        <w:ind w:firstLine="360"/>
        <w:jc w:val="both"/>
        <w:rPr>
          <w:lang w:val="en-GB" w:bidi="ar-EG"/>
        </w:rPr>
        <w:sectPr w:rsidR="002B5824" w:rsidRPr="002B5824" w:rsidSect="005B4E06">
          <w:headerReference w:type="first" r:id="rId12"/>
          <w:type w:val="continuous"/>
          <w:pgSz w:w="11906" w:h="16838"/>
          <w:pgMar w:top="1440" w:right="1016" w:bottom="1276" w:left="990" w:header="708" w:footer="708" w:gutter="0"/>
          <w:cols w:num="2" w:space="709"/>
          <w:titlePg/>
          <w:rtlGutter/>
          <w:docGrid w:linePitch="360"/>
        </w:sectPr>
      </w:pPr>
      <w:r w:rsidRPr="000436B4">
        <w:rPr>
          <w:rFonts w:asciiTheme="majorBidi" w:hAnsiTheme="majorBidi" w:cstheme="majorBidi"/>
          <w:bCs/>
          <w:iCs/>
          <w:sz w:val="24"/>
          <w:szCs w:val="24"/>
          <w:lang w:bidi="ar-EG"/>
        </w:rPr>
        <w:t xml:space="preserve">In all of the cases, there was splenic congestion. In </w:t>
      </w:r>
      <w:r>
        <w:rPr>
          <w:rFonts w:asciiTheme="majorBidi" w:hAnsiTheme="majorBidi" w:cstheme="majorBidi"/>
          <w:bCs/>
          <w:iCs/>
          <w:sz w:val="24"/>
          <w:szCs w:val="24"/>
          <w:lang w:bidi="ar-EG"/>
        </w:rPr>
        <w:t xml:space="preserve">7 </w:t>
      </w:r>
      <w:r w:rsidRPr="000436B4">
        <w:rPr>
          <w:rFonts w:asciiTheme="majorBidi" w:hAnsiTheme="majorBidi" w:cstheme="majorBidi"/>
          <w:bCs/>
          <w:iCs/>
          <w:sz w:val="24"/>
          <w:szCs w:val="24"/>
          <w:lang w:bidi="ar-EG"/>
        </w:rPr>
        <w:t>cases, splenic necrosis was seen.</w:t>
      </w:r>
    </w:p>
    <w:p w14:paraId="0C9BECB4" w14:textId="77777777" w:rsidR="0098031D" w:rsidRDefault="0098031D" w:rsidP="0098031D">
      <w:pPr>
        <w:bidi w:val="0"/>
        <w:spacing w:after="0" w:line="240" w:lineRule="auto"/>
        <w:ind w:firstLine="360"/>
        <w:jc w:val="both"/>
        <w:rPr>
          <w:lang w:bidi="ar-EG"/>
        </w:rPr>
      </w:pPr>
    </w:p>
    <w:p w14:paraId="6E5E6E42" w14:textId="77777777" w:rsidR="00922155" w:rsidRDefault="00922155" w:rsidP="002B7EF1">
      <w:pPr>
        <w:bidi w:val="0"/>
        <w:rPr>
          <w:rFonts w:ascii="Times New Roman" w:eastAsia="Calibri" w:hAnsi="Times New Roman" w:cs="Times New Roman"/>
          <w:b/>
          <w:iCs/>
          <w:sz w:val="24"/>
          <w:szCs w:val="24"/>
          <w:lang w:val="en-GB"/>
        </w:rPr>
      </w:pPr>
    </w:p>
    <w:p w14:paraId="78DEF3ED" w14:textId="04AF35FE" w:rsidR="00922155" w:rsidRDefault="00922155" w:rsidP="00922155">
      <w:pPr>
        <w:bidi w:val="0"/>
        <w:rPr>
          <w:rFonts w:ascii="Times New Roman" w:eastAsia="Calibri" w:hAnsi="Times New Roman" w:cs="Times New Roman"/>
          <w:b/>
          <w:iCs/>
          <w:sz w:val="24"/>
          <w:szCs w:val="24"/>
          <w:lang w:val="en-GB"/>
        </w:rPr>
      </w:pPr>
      <w:r>
        <w:rPr>
          <w:rFonts w:ascii="Times New Roman" w:eastAsia="Calibri" w:hAnsi="Times New Roman" w:cs="Times New Roman"/>
          <w:b/>
          <w:iCs/>
          <w:sz w:val="24"/>
          <w:szCs w:val="24"/>
          <w:lang w:val="en-GB"/>
        </w:rPr>
        <w:br w:type="page"/>
      </w:r>
    </w:p>
    <w:p w14:paraId="2CAE1EB5" w14:textId="171318E0" w:rsidR="00F345A0" w:rsidRPr="00922155" w:rsidRDefault="00F345A0" w:rsidP="00922155">
      <w:pPr>
        <w:bidi w:val="0"/>
        <w:rPr>
          <w:rFonts w:ascii="Times New Roman" w:eastAsia="Calibri" w:hAnsi="Times New Roman" w:cs="Times New Roman"/>
          <w:b/>
          <w:iCs/>
          <w:sz w:val="24"/>
          <w:szCs w:val="24"/>
          <w:lang w:val="en-GB"/>
        </w:rPr>
      </w:pPr>
      <w:r w:rsidRPr="00F345A0">
        <w:rPr>
          <w:rFonts w:ascii="Times New Roman" w:eastAsia="Calibri" w:hAnsi="Times New Roman" w:cs="Times New Roman"/>
          <w:b/>
          <w:iCs/>
          <w:sz w:val="24"/>
          <w:szCs w:val="24"/>
          <w:lang w:val="en-GB"/>
        </w:rPr>
        <w:t>Table (1):</w:t>
      </w:r>
      <w:r w:rsidRPr="00F345A0">
        <w:rPr>
          <w:rFonts w:ascii="Times New Roman" w:eastAsia="Calibri" w:hAnsi="Times New Roman" w:cs="Times New Roman"/>
          <w:bCs/>
          <w:iCs/>
          <w:sz w:val="24"/>
          <w:szCs w:val="24"/>
          <w:lang w:val="en-GB"/>
        </w:rPr>
        <w:t xml:space="preserve"> </w:t>
      </w:r>
      <w:r w:rsidR="000436B4">
        <w:rPr>
          <w:rFonts w:ascii="Times New Roman" w:eastAsia="Calibri" w:hAnsi="Times New Roman" w:cs="Times New Roman"/>
          <w:bCs/>
          <w:iCs/>
          <w:sz w:val="24"/>
          <w:szCs w:val="24"/>
        </w:rPr>
        <w:t>H</w:t>
      </w:r>
      <w:r w:rsidRPr="00F345A0">
        <w:rPr>
          <w:rFonts w:ascii="Times New Roman" w:eastAsia="Calibri" w:hAnsi="Times New Roman" w:cs="Times New Roman"/>
          <w:bCs/>
          <w:iCs/>
          <w:sz w:val="24"/>
          <w:szCs w:val="24"/>
        </w:rPr>
        <w:t>istopathological findings of various organs in the present study</w:t>
      </w:r>
      <w:r w:rsidRPr="00F345A0">
        <w:rPr>
          <w:rFonts w:ascii="Calibri" w:eastAsia="Calibri" w:hAnsi="Calibri" w:cs="Arial"/>
          <w:bCs/>
          <w:sz w:val="20"/>
          <w:szCs w:val="20"/>
        </w:rPr>
        <w:t xml:space="preserve"> </w:t>
      </w:r>
      <w:r w:rsidRPr="00F345A0">
        <w:rPr>
          <w:rFonts w:ascii="Times New Roman" w:eastAsia="Calibri" w:hAnsi="Times New Roman" w:cs="Times New Roman"/>
          <w:bCs/>
          <w:iCs/>
          <w:sz w:val="24"/>
          <w:szCs w:val="24"/>
        </w:rPr>
        <w:t>on deaths with Aluminum phosphide poisoning:</w:t>
      </w:r>
    </w:p>
    <w:tbl>
      <w:tblPr>
        <w:tblStyle w:val="GridTable4-Accent42"/>
        <w:tblpPr w:leftFromText="180" w:rightFromText="180" w:vertAnchor="text" w:tblpY="1"/>
        <w:tblW w:w="0" w:type="auto"/>
        <w:tblLook w:val="04A0" w:firstRow="1" w:lastRow="0" w:firstColumn="1" w:lastColumn="0" w:noHBand="0" w:noVBand="1"/>
      </w:tblPr>
      <w:tblGrid>
        <w:gridCol w:w="6205"/>
        <w:gridCol w:w="2811"/>
      </w:tblGrid>
      <w:tr w:rsidR="006C6A90" w:rsidRPr="00B97026" w14:paraId="68484B0D" w14:textId="77777777" w:rsidTr="006C6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65501E15" w14:textId="77777777" w:rsidR="006C6A90" w:rsidRPr="007211F9" w:rsidRDefault="006C6A90" w:rsidP="00DB7E64">
            <w:pPr>
              <w:spacing w:line="276" w:lineRule="auto"/>
              <w:jc w:val="center"/>
              <w:rPr>
                <w:rFonts w:asciiTheme="majorBidi" w:eastAsia="Calibri" w:hAnsiTheme="majorBidi" w:cstheme="majorBidi"/>
                <w:bCs w:val="0"/>
                <w:iCs/>
                <w:lang w:val="en-GB"/>
              </w:rPr>
            </w:pPr>
            <w:bookmarkStart w:id="8" w:name="_Hlk111070342"/>
            <w:r w:rsidRPr="007211F9">
              <w:rPr>
                <w:rFonts w:asciiTheme="majorBidi" w:eastAsia="Calibri" w:hAnsiTheme="majorBidi" w:cstheme="majorBidi"/>
                <w:bCs w:val="0"/>
                <w:iCs/>
                <w:lang w:val="en-GB"/>
              </w:rPr>
              <w:t>Histopathological findings</w:t>
            </w:r>
          </w:p>
        </w:tc>
        <w:tc>
          <w:tcPr>
            <w:tcW w:w="2811" w:type="dxa"/>
          </w:tcPr>
          <w:p w14:paraId="4D9F0324" w14:textId="77777777" w:rsidR="006C6A90" w:rsidRPr="007211F9" w:rsidRDefault="006C6A90" w:rsidP="00DB7E64">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Cs w:val="0"/>
                <w:iCs/>
                <w:lang w:val="en-GB"/>
              </w:rPr>
            </w:pPr>
            <w:r w:rsidRPr="007211F9">
              <w:rPr>
                <w:rFonts w:asciiTheme="majorBidi" w:eastAsia="Calibri" w:hAnsiTheme="majorBidi" w:cstheme="majorBidi"/>
                <w:bCs w:val="0"/>
                <w:iCs/>
                <w:lang w:val="en-GB"/>
              </w:rPr>
              <w:t>Percentage of each finding in poisoned cases (N= 10)</w:t>
            </w:r>
          </w:p>
        </w:tc>
      </w:tr>
      <w:tr w:rsidR="006C6A90" w:rsidRPr="00B97026" w14:paraId="5981873D" w14:textId="77777777" w:rsidTr="006C6A90">
        <w:trPr>
          <w:gridAfter w:val="1"/>
          <w:cnfStyle w:val="000000100000" w:firstRow="0" w:lastRow="0" w:firstColumn="0" w:lastColumn="0" w:oddVBand="0" w:evenVBand="0" w:oddHBand="1" w:evenHBand="0" w:firstRowFirstColumn="0" w:firstRowLastColumn="0" w:lastRowFirstColumn="0" w:lastRowLastColumn="0"/>
          <w:wAfter w:w="2811" w:type="dxa"/>
        </w:trPr>
        <w:tc>
          <w:tcPr>
            <w:cnfStyle w:val="001000000000" w:firstRow="0" w:lastRow="0" w:firstColumn="1" w:lastColumn="0" w:oddVBand="0" w:evenVBand="0" w:oddHBand="0" w:evenHBand="0" w:firstRowFirstColumn="0" w:firstRowLastColumn="0" w:lastRowFirstColumn="0" w:lastRowLastColumn="0"/>
            <w:tcW w:w="6205" w:type="dxa"/>
          </w:tcPr>
          <w:p w14:paraId="38741CCC" w14:textId="77777777" w:rsidR="006C6A90" w:rsidRPr="00B97026" w:rsidRDefault="006C6A90" w:rsidP="006C6A90">
            <w:pPr>
              <w:pStyle w:val="ListParagraph"/>
              <w:numPr>
                <w:ilvl w:val="0"/>
                <w:numId w:val="15"/>
              </w:numPr>
              <w:bidi w:val="0"/>
              <w:spacing w:line="276" w:lineRule="auto"/>
              <w:jc w:val="both"/>
              <w:rPr>
                <w:rFonts w:asciiTheme="majorBidi" w:eastAsia="Calibri" w:hAnsiTheme="majorBidi" w:cstheme="majorBidi"/>
                <w:iCs/>
                <w:sz w:val="24"/>
                <w:szCs w:val="24"/>
                <w:lang w:val="en-GB"/>
              </w:rPr>
            </w:pPr>
            <w:r w:rsidRPr="00B97026">
              <w:rPr>
                <w:rFonts w:asciiTheme="majorBidi" w:eastAsia="Calibri" w:hAnsiTheme="majorBidi" w:cstheme="majorBidi"/>
                <w:iCs/>
                <w:sz w:val="24"/>
                <w:szCs w:val="24"/>
                <w:lang w:val="en-GB"/>
              </w:rPr>
              <w:t>Stomach:</w:t>
            </w:r>
          </w:p>
        </w:tc>
      </w:tr>
      <w:tr w:rsidR="006C6A90" w:rsidRPr="00B97026" w14:paraId="163A2E22"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592E13CA" w14:textId="77777777" w:rsidR="006C6A90" w:rsidRPr="00B97026" w:rsidRDefault="006C6A90" w:rsidP="006C6A90">
            <w:pPr>
              <w:pStyle w:val="ListParagraph"/>
              <w:numPr>
                <w:ilvl w:val="0"/>
                <w:numId w:val="20"/>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Congestion</w:t>
            </w:r>
          </w:p>
        </w:tc>
        <w:tc>
          <w:tcPr>
            <w:tcW w:w="2811" w:type="dxa"/>
          </w:tcPr>
          <w:p w14:paraId="57BA040C"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sidRPr="00593D60">
              <w:rPr>
                <w:rFonts w:asciiTheme="majorBidi" w:eastAsia="Calibri" w:hAnsiTheme="majorBidi" w:cstheme="majorBidi"/>
                <w:bCs/>
                <w:iCs/>
                <w:sz w:val="24"/>
                <w:szCs w:val="24"/>
                <w:lang w:val="en-GB"/>
              </w:rPr>
              <w:t>100%</w:t>
            </w:r>
          </w:p>
        </w:tc>
      </w:tr>
      <w:tr w:rsidR="006C6A90" w:rsidRPr="00B97026" w14:paraId="131BEC89"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510885CC" w14:textId="77777777" w:rsidR="006C6A90" w:rsidRPr="00B97026" w:rsidRDefault="006C6A90" w:rsidP="006C6A90">
            <w:pPr>
              <w:pStyle w:val="ListParagraph"/>
              <w:numPr>
                <w:ilvl w:val="0"/>
                <w:numId w:val="20"/>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Edema</w:t>
            </w:r>
          </w:p>
        </w:tc>
        <w:tc>
          <w:tcPr>
            <w:tcW w:w="2811" w:type="dxa"/>
          </w:tcPr>
          <w:p w14:paraId="4F01CCD5"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sidRPr="00593D60">
              <w:rPr>
                <w:rFonts w:asciiTheme="majorBidi" w:eastAsia="Calibri" w:hAnsiTheme="majorBidi" w:cstheme="majorBidi"/>
                <w:bCs/>
                <w:iCs/>
                <w:sz w:val="24"/>
                <w:szCs w:val="24"/>
                <w:lang w:val="en-GB"/>
              </w:rPr>
              <w:t>100%</w:t>
            </w:r>
          </w:p>
        </w:tc>
      </w:tr>
      <w:tr w:rsidR="006C6A90" w:rsidRPr="00B97026" w14:paraId="30D7B050"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314DFF7D" w14:textId="77777777" w:rsidR="006C6A90" w:rsidRPr="00B97026" w:rsidRDefault="006C6A90" w:rsidP="006C6A90">
            <w:pPr>
              <w:pStyle w:val="ListParagraph"/>
              <w:numPr>
                <w:ilvl w:val="0"/>
                <w:numId w:val="20"/>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Necrosis of mucosa</w:t>
            </w:r>
          </w:p>
        </w:tc>
        <w:tc>
          <w:tcPr>
            <w:tcW w:w="2811" w:type="dxa"/>
          </w:tcPr>
          <w:p w14:paraId="184F2F56"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sidRPr="00593D60">
              <w:rPr>
                <w:rFonts w:asciiTheme="majorBidi" w:eastAsia="Calibri" w:hAnsiTheme="majorBidi" w:cstheme="majorBidi"/>
                <w:bCs/>
                <w:iCs/>
                <w:sz w:val="24"/>
                <w:szCs w:val="24"/>
                <w:lang w:val="en-GB"/>
              </w:rPr>
              <w:t>100%</w:t>
            </w:r>
          </w:p>
        </w:tc>
      </w:tr>
      <w:tr w:rsidR="006C6A90" w:rsidRPr="00B97026" w14:paraId="6BDEDE09"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5D93BE22" w14:textId="77777777" w:rsidR="006C6A90" w:rsidRPr="00B97026" w:rsidRDefault="006C6A90" w:rsidP="006C6A90">
            <w:pPr>
              <w:pStyle w:val="ListParagraph"/>
              <w:numPr>
                <w:ilvl w:val="0"/>
                <w:numId w:val="20"/>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Round cell infiltration up to mucosal layer</w:t>
            </w:r>
          </w:p>
        </w:tc>
        <w:tc>
          <w:tcPr>
            <w:tcW w:w="2811" w:type="dxa"/>
          </w:tcPr>
          <w:p w14:paraId="07F20CBA"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70%</w:t>
            </w:r>
          </w:p>
        </w:tc>
      </w:tr>
      <w:tr w:rsidR="006C6A90" w:rsidRPr="00B97026" w14:paraId="6BDE3430" w14:textId="77777777" w:rsidTr="006C6A90">
        <w:tc>
          <w:tcPr>
            <w:cnfStyle w:val="001000000000" w:firstRow="0" w:lastRow="0" w:firstColumn="1" w:lastColumn="0" w:oddVBand="0" w:evenVBand="0" w:oddHBand="0" w:evenHBand="0" w:firstRowFirstColumn="0" w:firstRowLastColumn="0" w:lastRowFirstColumn="0" w:lastRowLastColumn="0"/>
            <w:tcW w:w="9016" w:type="dxa"/>
            <w:gridSpan w:val="2"/>
          </w:tcPr>
          <w:p w14:paraId="5FF8EE63" w14:textId="77777777" w:rsidR="006C6A90" w:rsidRPr="003541B5" w:rsidRDefault="006C6A90" w:rsidP="006C6A90">
            <w:pPr>
              <w:pStyle w:val="ListParagraph"/>
              <w:numPr>
                <w:ilvl w:val="0"/>
                <w:numId w:val="15"/>
              </w:numPr>
              <w:bidi w:val="0"/>
              <w:spacing w:line="276" w:lineRule="auto"/>
              <w:jc w:val="both"/>
              <w:rPr>
                <w:rFonts w:asciiTheme="majorBidi" w:eastAsia="Calibri" w:hAnsiTheme="majorBidi" w:cstheme="majorBidi"/>
                <w:bCs w:val="0"/>
                <w:iCs/>
                <w:sz w:val="24"/>
                <w:szCs w:val="24"/>
                <w:lang w:val="en-GB"/>
              </w:rPr>
            </w:pPr>
            <w:r w:rsidRPr="003541B5">
              <w:rPr>
                <w:rFonts w:asciiTheme="majorBidi" w:eastAsia="Calibri" w:hAnsiTheme="majorBidi" w:cstheme="majorBidi"/>
                <w:iCs/>
                <w:sz w:val="24"/>
                <w:szCs w:val="24"/>
                <w:lang w:val="en-GB"/>
              </w:rPr>
              <w:t>Small intestine:</w:t>
            </w:r>
          </w:p>
        </w:tc>
      </w:tr>
      <w:tr w:rsidR="006C6A90" w:rsidRPr="00B97026" w14:paraId="4918CF4C"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468508AD" w14:textId="77777777" w:rsidR="006C6A90" w:rsidRPr="00B97026" w:rsidRDefault="006C6A90" w:rsidP="006C6A90">
            <w:pPr>
              <w:pStyle w:val="ListParagraph"/>
              <w:numPr>
                <w:ilvl w:val="0"/>
                <w:numId w:val="21"/>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Congestion</w:t>
            </w:r>
          </w:p>
        </w:tc>
        <w:tc>
          <w:tcPr>
            <w:tcW w:w="2811" w:type="dxa"/>
          </w:tcPr>
          <w:p w14:paraId="78AABCC5"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sidRPr="00345697">
              <w:rPr>
                <w:rFonts w:asciiTheme="majorBidi" w:eastAsia="Calibri" w:hAnsiTheme="majorBidi" w:cstheme="majorBidi"/>
                <w:bCs/>
                <w:iCs/>
                <w:sz w:val="24"/>
                <w:szCs w:val="24"/>
                <w:lang w:val="en-GB"/>
              </w:rPr>
              <w:t>100%</w:t>
            </w:r>
          </w:p>
        </w:tc>
      </w:tr>
      <w:tr w:rsidR="006C6A90" w:rsidRPr="00B97026" w14:paraId="38A0B98A"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57D568A8" w14:textId="77777777" w:rsidR="006C6A90" w:rsidRPr="00B97026" w:rsidRDefault="006C6A90" w:rsidP="006C6A90">
            <w:pPr>
              <w:pStyle w:val="ListParagraph"/>
              <w:numPr>
                <w:ilvl w:val="0"/>
                <w:numId w:val="21"/>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Edema</w:t>
            </w:r>
          </w:p>
        </w:tc>
        <w:tc>
          <w:tcPr>
            <w:tcW w:w="2811" w:type="dxa"/>
          </w:tcPr>
          <w:p w14:paraId="311CCAE6"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sidRPr="00345697">
              <w:rPr>
                <w:rFonts w:asciiTheme="majorBidi" w:eastAsia="Calibri" w:hAnsiTheme="majorBidi" w:cstheme="majorBidi"/>
                <w:bCs/>
                <w:iCs/>
                <w:sz w:val="24"/>
                <w:szCs w:val="24"/>
                <w:lang w:val="en-GB"/>
              </w:rPr>
              <w:t>100%</w:t>
            </w:r>
          </w:p>
        </w:tc>
      </w:tr>
      <w:tr w:rsidR="006C6A90" w:rsidRPr="00B97026" w14:paraId="24285534"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08FAB0C3" w14:textId="77777777" w:rsidR="006C6A90" w:rsidRPr="00B97026" w:rsidRDefault="006C6A90" w:rsidP="006C6A90">
            <w:pPr>
              <w:pStyle w:val="ListParagraph"/>
              <w:numPr>
                <w:ilvl w:val="0"/>
                <w:numId w:val="21"/>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Necrosis of mucosa</w:t>
            </w:r>
          </w:p>
        </w:tc>
        <w:tc>
          <w:tcPr>
            <w:tcW w:w="2811" w:type="dxa"/>
          </w:tcPr>
          <w:p w14:paraId="145BE336"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100%</w:t>
            </w:r>
          </w:p>
        </w:tc>
      </w:tr>
      <w:tr w:rsidR="006C6A90" w:rsidRPr="00B97026" w14:paraId="616529C6"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3A59636A" w14:textId="77777777" w:rsidR="006C6A90" w:rsidRPr="00B97026" w:rsidRDefault="006C6A90" w:rsidP="006C6A90">
            <w:pPr>
              <w:pStyle w:val="ListParagraph"/>
              <w:numPr>
                <w:ilvl w:val="0"/>
                <w:numId w:val="21"/>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Round cell infiltration up to mucosal layer</w:t>
            </w:r>
          </w:p>
        </w:tc>
        <w:tc>
          <w:tcPr>
            <w:tcW w:w="2811" w:type="dxa"/>
          </w:tcPr>
          <w:p w14:paraId="1247A3D7"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30%</w:t>
            </w:r>
          </w:p>
        </w:tc>
      </w:tr>
      <w:tr w:rsidR="006C6A90" w:rsidRPr="00B97026" w14:paraId="09576A5F" w14:textId="77777777" w:rsidTr="006C6A90">
        <w:trPr>
          <w:gridAfter w:val="1"/>
          <w:cnfStyle w:val="000000100000" w:firstRow="0" w:lastRow="0" w:firstColumn="0" w:lastColumn="0" w:oddVBand="0" w:evenVBand="0" w:oddHBand="1" w:evenHBand="0" w:firstRowFirstColumn="0" w:firstRowLastColumn="0" w:lastRowFirstColumn="0" w:lastRowLastColumn="0"/>
          <w:wAfter w:w="2811" w:type="dxa"/>
        </w:trPr>
        <w:tc>
          <w:tcPr>
            <w:cnfStyle w:val="001000000000" w:firstRow="0" w:lastRow="0" w:firstColumn="1" w:lastColumn="0" w:oddVBand="0" w:evenVBand="0" w:oddHBand="0" w:evenHBand="0" w:firstRowFirstColumn="0" w:firstRowLastColumn="0" w:lastRowFirstColumn="0" w:lastRowLastColumn="0"/>
            <w:tcW w:w="6205" w:type="dxa"/>
          </w:tcPr>
          <w:p w14:paraId="01007364" w14:textId="77777777" w:rsidR="006C6A90" w:rsidRPr="00B97026" w:rsidRDefault="006C6A90" w:rsidP="006C6A90">
            <w:pPr>
              <w:pStyle w:val="ListParagraph"/>
              <w:numPr>
                <w:ilvl w:val="0"/>
                <w:numId w:val="15"/>
              </w:numPr>
              <w:bidi w:val="0"/>
              <w:spacing w:line="276" w:lineRule="auto"/>
              <w:jc w:val="both"/>
              <w:rPr>
                <w:rFonts w:asciiTheme="majorBidi" w:eastAsia="Calibri" w:hAnsiTheme="majorBidi" w:cstheme="majorBidi"/>
                <w:iCs/>
                <w:sz w:val="24"/>
                <w:szCs w:val="24"/>
                <w:lang w:val="en-GB"/>
              </w:rPr>
            </w:pPr>
            <w:r w:rsidRPr="00B97026">
              <w:rPr>
                <w:rFonts w:asciiTheme="majorBidi" w:eastAsia="Calibri" w:hAnsiTheme="majorBidi" w:cstheme="majorBidi"/>
                <w:iCs/>
                <w:sz w:val="24"/>
                <w:szCs w:val="24"/>
                <w:lang w:val="en-GB"/>
              </w:rPr>
              <w:t>Kidney:</w:t>
            </w:r>
          </w:p>
        </w:tc>
      </w:tr>
      <w:tr w:rsidR="006C6A90" w:rsidRPr="00B97026" w14:paraId="4BBAB83A"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799863F9" w14:textId="77777777" w:rsidR="006C6A90" w:rsidRPr="00B97026" w:rsidRDefault="006C6A90" w:rsidP="006C6A90">
            <w:pPr>
              <w:pStyle w:val="ListParagraph"/>
              <w:numPr>
                <w:ilvl w:val="0"/>
                <w:numId w:val="17"/>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Congestion</w:t>
            </w:r>
          </w:p>
        </w:tc>
        <w:tc>
          <w:tcPr>
            <w:tcW w:w="2811" w:type="dxa"/>
          </w:tcPr>
          <w:p w14:paraId="66404C44"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sidRPr="00354DA1">
              <w:rPr>
                <w:rFonts w:asciiTheme="majorBidi" w:eastAsia="Calibri" w:hAnsiTheme="majorBidi" w:cstheme="majorBidi"/>
                <w:bCs/>
                <w:iCs/>
                <w:sz w:val="24"/>
                <w:szCs w:val="24"/>
                <w:lang w:val="en-GB"/>
              </w:rPr>
              <w:t>100%</w:t>
            </w:r>
          </w:p>
        </w:tc>
      </w:tr>
      <w:tr w:rsidR="006C6A90" w:rsidRPr="00B97026" w14:paraId="75DA042A"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553A55A5" w14:textId="77777777" w:rsidR="006C6A90" w:rsidRPr="00B97026" w:rsidRDefault="006C6A90" w:rsidP="006C6A90">
            <w:pPr>
              <w:pStyle w:val="ListParagraph"/>
              <w:numPr>
                <w:ilvl w:val="0"/>
                <w:numId w:val="17"/>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 xml:space="preserve">Necrosis, degeneration </w:t>
            </w:r>
            <w:r w:rsidRPr="00354DA1">
              <w:rPr>
                <w:rFonts w:asciiTheme="majorBidi" w:eastAsia="Calibri" w:hAnsiTheme="majorBidi" w:cstheme="majorBidi"/>
                <w:b w:val="0"/>
                <w:bCs w:val="0"/>
                <w:iCs/>
                <w:sz w:val="24"/>
                <w:szCs w:val="24"/>
                <w:lang w:val="en-GB"/>
              </w:rPr>
              <w:t>of tubular epithelium.</w:t>
            </w:r>
          </w:p>
        </w:tc>
        <w:tc>
          <w:tcPr>
            <w:tcW w:w="2811" w:type="dxa"/>
          </w:tcPr>
          <w:p w14:paraId="39F48D35"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sidRPr="00354DA1">
              <w:rPr>
                <w:rFonts w:asciiTheme="majorBidi" w:eastAsia="Calibri" w:hAnsiTheme="majorBidi" w:cstheme="majorBidi"/>
                <w:bCs/>
                <w:iCs/>
                <w:sz w:val="24"/>
                <w:szCs w:val="24"/>
                <w:lang w:val="en-GB"/>
              </w:rPr>
              <w:t>100%</w:t>
            </w:r>
          </w:p>
        </w:tc>
      </w:tr>
      <w:tr w:rsidR="006C6A90" w:rsidRPr="00354DA1" w14:paraId="79B94024"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47DEBE43" w14:textId="77777777" w:rsidR="006C6A90" w:rsidRPr="00B97026" w:rsidRDefault="006C6A90" w:rsidP="006C6A90">
            <w:pPr>
              <w:pStyle w:val="ListParagraph"/>
              <w:numPr>
                <w:ilvl w:val="0"/>
                <w:numId w:val="17"/>
              </w:numPr>
              <w:bidi w:val="0"/>
              <w:spacing w:line="276" w:lineRule="auto"/>
              <w:jc w:val="both"/>
              <w:rPr>
                <w:rFonts w:asciiTheme="majorBidi" w:eastAsia="Calibri" w:hAnsiTheme="majorBidi" w:cstheme="majorBidi"/>
                <w:b w:val="0"/>
                <w:bCs w:val="0"/>
                <w:iCs/>
                <w:sz w:val="24"/>
                <w:szCs w:val="24"/>
                <w:lang w:val="en-GB"/>
              </w:rPr>
            </w:pPr>
            <w:r w:rsidRPr="00DA4F12">
              <w:rPr>
                <w:rFonts w:asciiTheme="majorBidi" w:eastAsia="Calibri" w:hAnsiTheme="majorBidi" w:cstheme="majorBidi"/>
                <w:b w:val="0"/>
                <w:bCs w:val="0"/>
                <w:iCs/>
                <w:sz w:val="24"/>
                <w:szCs w:val="24"/>
              </w:rPr>
              <w:t>glomerular necrosis</w:t>
            </w:r>
          </w:p>
        </w:tc>
        <w:tc>
          <w:tcPr>
            <w:tcW w:w="2811" w:type="dxa"/>
          </w:tcPr>
          <w:p w14:paraId="4735E5AF" w14:textId="77777777" w:rsidR="006C6A90" w:rsidRPr="00354DA1"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100%</w:t>
            </w:r>
          </w:p>
        </w:tc>
      </w:tr>
      <w:tr w:rsidR="006C6A90" w:rsidRPr="00B97026" w14:paraId="13A165FD"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52DE8F8D" w14:textId="77777777" w:rsidR="006C6A90" w:rsidRPr="00354DA1" w:rsidRDefault="006C6A90" w:rsidP="006C6A90">
            <w:pPr>
              <w:pStyle w:val="ListParagraph"/>
              <w:numPr>
                <w:ilvl w:val="0"/>
                <w:numId w:val="17"/>
              </w:numPr>
              <w:bidi w:val="0"/>
              <w:spacing w:line="276" w:lineRule="auto"/>
              <w:jc w:val="both"/>
              <w:rPr>
                <w:rFonts w:asciiTheme="majorBidi" w:eastAsia="Calibri" w:hAnsiTheme="majorBidi" w:cstheme="majorBidi"/>
                <w:b w:val="0"/>
                <w:bCs w:val="0"/>
                <w:iCs/>
                <w:sz w:val="24"/>
                <w:szCs w:val="24"/>
                <w:lang w:val="en-GB"/>
              </w:rPr>
            </w:pPr>
            <w:r w:rsidRPr="00961477">
              <w:rPr>
                <w:rFonts w:asciiTheme="majorBidi" w:eastAsia="Calibri" w:hAnsiTheme="majorBidi" w:cstheme="majorBidi"/>
                <w:b w:val="0"/>
                <w:bCs w:val="0"/>
                <w:iCs/>
                <w:sz w:val="24"/>
                <w:szCs w:val="24"/>
              </w:rPr>
              <w:t>Inflammatory cell infiltration</w:t>
            </w:r>
            <w:r>
              <w:rPr>
                <w:rFonts w:asciiTheme="majorBidi" w:eastAsia="Calibri" w:hAnsiTheme="majorBidi" w:cstheme="majorBidi"/>
                <w:b w:val="0"/>
                <w:bCs w:val="0"/>
                <w:iCs/>
                <w:sz w:val="24"/>
                <w:szCs w:val="24"/>
                <w:lang w:val="en-GB"/>
              </w:rPr>
              <w:t>.</w:t>
            </w:r>
          </w:p>
        </w:tc>
        <w:tc>
          <w:tcPr>
            <w:tcW w:w="2811" w:type="dxa"/>
          </w:tcPr>
          <w:p w14:paraId="3F35F268"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40%</w:t>
            </w:r>
          </w:p>
        </w:tc>
      </w:tr>
      <w:tr w:rsidR="006C6A90" w14:paraId="3894E52A"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31D24519" w14:textId="77777777" w:rsidR="006C6A90" w:rsidRPr="00DA4F12" w:rsidRDefault="006C6A90" w:rsidP="006C6A90">
            <w:pPr>
              <w:pStyle w:val="ListParagraph"/>
              <w:numPr>
                <w:ilvl w:val="0"/>
                <w:numId w:val="17"/>
              </w:numPr>
              <w:bidi w:val="0"/>
              <w:spacing w:line="276" w:lineRule="auto"/>
              <w:jc w:val="both"/>
              <w:rPr>
                <w:rFonts w:asciiTheme="majorBidi" w:eastAsia="Calibri" w:hAnsiTheme="majorBidi" w:cstheme="majorBidi"/>
                <w:b w:val="0"/>
                <w:bCs w:val="0"/>
                <w:iCs/>
                <w:sz w:val="24"/>
                <w:szCs w:val="24"/>
              </w:rPr>
            </w:pPr>
            <w:r w:rsidRPr="00DA4F12">
              <w:rPr>
                <w:rFonts w:asciiTheme="majorBidi" w:eastAsia="Calibri" w:hAnsiTheme="majorBidi" w:cstheme="majorBidi"/>
                <w:b w:val="0"/>
                <w:bCs w:val="0"/>
                <w:iCs/>
                <w:sz w:val="24"/>
                <w:szCs w:val="24"/>
              </w:rPr>
              <w:t>intratubular hemorrhage</w:t>
            </w:r>
          </w:p>
        </w:tc>
        <w:tc>
          <w:tcPr>
            <w:tcW w:w="2811" w:type="dxa"/>
          </w:tcPr>
          <w:p w14:paraId="6AB18DAC" w14:textId="77777777" w:rsidR="006C6A90"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40%</w:t>
            </w:r>
          </w:p>
        </w:tc>
      </w:tr>
      <w:tr w:rsidR="006C6A90" w:rsidRPr="00B97026" w14:paraId="7A87D0C3" w14:textId="77777777" w:rsidTr="006C6A90">
        <w:trPr>
          <w:gridAfter w:val="1"/>
          <w:cnfStyle w:val="000000100000" w:firstRow="0" w:lastRow="0" w:firstColumn="0" w:lastColumn="0" w:oddVBand="0" w:evenVBand="0" w:oddHBand="1" w:evenHBand="0" w:firstRowFirstColumn="0" w:firstRowLastColumn="0" w:lastRowFirstColumn="0" w:lastRowLastColumn="0"/>
          <w:wAfter w:w="2811" w:type="dxa"/>
        </w:trPr>
        <w:tc>
          <w:tcPr>
            <w:cnfStyle w:val="001000000000" w:firstRow="0" w:lastRow="0" w:firstColumn="1" w:lastColumn="0" w:oddVBand="0" w:evenVBand="0" w:oddHBand="0" w:evenHBand="0" w:firstRowFirstColumn="0" w:firstRowLastColumn="0" w:lastRowFirstColumn="0" w:lastRowLastColumn="0"/>
            <w:tcW w:w="6205" w:type="dxa"/>
          </w:tcPr>
          <w:p w14:paraId="43284264" w14:textId="77777777" w:rsidR="006C6A90" w:rsidRPr="00B97026" w:rsidRDefault="006C6A90" w:rsidP="006C6A90">
            <w:pPr>
              <w:pStyle w:val="ListParagraph"/>
              <w:numPr>
                <w:ilvl w:val="0"/>
                <w:numId w:val="15"/>
              </w:numPr>
              <w:bidi w:val="0"/>
              <w:spacing w:line="276" w:lineRule="auto"/>
              <w:jc w:val="both"/>
              <w:rPr>
                <w:rFonts w:asciiTheme="majorBidi" w:eastAsia="Calibri" w:hAnsiTheme="majorBidi" w:cstheme="majorBidi"/>
                <w:iCs/>
                <w:sz w:val="24"/>
                <w:szCs w:val="24"/>
                <w:lang w:val="en-GB"/>
              </w:rPr>
            </w:pPr>
            <w:r w:rsidRPr="00B97026">
              <w:rPr>
                <w:rFonts w:asciiTheme="majorBidi" w:eastAsia="Calibri" w:hAnsiTheme="majorBidi" w:cstheme="majorBidi"/>
                <w:iCs/>
                <w:sz w:val="24"/>
                <w:szCs w:val="24"/>
                <w:lang w:val="en-GB"/>
              </w:rPr>
              <w:t xml:space="preserve">Lung: </w:t>
            </w:r>
          </w:p>
        </w:tc>
      </w:tr>
      <w:tr w:rsidR="006C6A90" w:rsidRPr="00B97026" w14:paraId="074F25CF"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4760D242" w14:textId="77777777" w:rsidR="006C6A90" w:rsidRPr="00B97026" w:rsidRDefault="006C6A90" w:rsidP="006C6A90">
            <w:pPr>
              <w:pStyle w:val="ListParagraph"/>
              <w:numPr>
                <w:ilvl w:val="0"/>
                <w:numId w:val="18"/>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rPr>
              <w:t>Congestion</w:t>
            </w:r>
          </w:p>
        </w:tc>
        <w:tc>
          <w:tcPr>
            <w:tcW w:w="2811" w:type="dxa"/>
          </w:tcPr>
          <w:p w14:paraId="686F0CE9"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sidRPr="00425FC1">
              <w:rPr>
                <w:rFonts w:asciiTheme="majorBidi" w:eastAsia="Calibri" w:hAnsiTheme="majorBidi" w:cstheme="majorBidi"/>
                <w:bCs/>
                <w:iCs/>
                <w:sz w:val="24"/>
                <w:szCs w:val="24"/>
                <w:lang w:val="en-GB"/>
              </w:rPr>
              <w:t>100%</w:t>
            </w:r>
          </w:p>
        </w:tc>
      </w:tr>
      <w:tr w:rsidR="006C6A90" w:rsidRPr="00B97026" w14:paraId="4C77FC6C"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026A1D8A" w14:textId="77777777" w:rsidR="006C6A90" w:rsidRPr="00B97026" w:rsidRDefault="006C6A90" w:rsidP="006C6A90">
            <w:pPr>
              <w:pStyle w:val="ListParagraph"/>
              <w:numPr>
                <w:ilvl w:val="0"/>
                <w:numId w:val="18"/>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Oedema</w:t>
            </w:r>
          </w:p>
        </w:tc>
        <w:tc>
          <w:tcPr>
            <w:tcW w:w="2811" w:type="dxa"/>
          </w:tcPr>
          <w:p w14:paraId="3BFBF879"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sidRPr="00425FC1">
              <w:rPr>
                <w:rFonts w:asciiTheme="majorBidi" w:eastAsia="Calibri" w:hAnsiTheme="majorBidi" w:cstheme="majorBidi"/>
                <w:bCs/>
                <w:iCs/>
                <w:sz w:val="24"/>
                <w:szCs w:val="24"/>
                <w:lang w:val="en-GB"/>
              </w:rPr>
              <w:t>100%</w:t>
            </w:r>
          </w:p>
        </w:tc>
      </w:tr>
      <w:tr w:rsidR="006C6A90" w:rsidRPr="00B97026" w14:paraId="3E903BC1"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321B8A23" w14:textId="77777777" w:rsidR="006C6A90" w:rsidRPr="00B97026" w:rsidRDefault="006C6A90" w:rsidP="006C6A90">
            <w:pPr>
              <w:pStyle w:val="ListParagraph"/>
              <w:numPr>
                <w:ilvl w:val="0"/>
                <w:numId w:val="18"/>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rPr>
              <w:t>Thickening of alveoli by hemolyzed RBC and dilated capillaries</w:t>
            </w:r>
          </w:p>
        </w:tc>
        <w:tc>
          <w:tcPr>
            <w:tcW w:w="2811" w:type="dxa"/>
          </w:tcPr>
          <w:p w14:paraId="658F1E74"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sidRPr="00425FC1">
              <w:rPr>
                <w:rFonts w:asciiTheme="majorBidi" w:eastAsia="Calibri" w:hAnsiTheme="majorBidi" w:cstheme="majorBidi"/>
                <w:bCs/>
                <w:iCs/>
                <w:sz w:val="24"/>
                <w:szCs w:val="24"/>
                <w:lang w:val="en-GB"/>
              </w:rPr>
              <w:t>100%</w:t>
            </w:r>
          </w:p>
        </w:tc>
      </w:tr>
      <w:tr w:rsidR="006C6A90" w:rsidRPr="00B97026" w14:paraId="5DF6C341"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3E513F5E" w14:textId="77777777" w:rsidR="006C6A90" w:rsidRPr="00B97026" w:rsidRDefault="006C6A90" w:rsidP="006C6A90">
            <w:pPr>
              <w:pStyle w:val="ListParagraph"/>
              <w:numPr>
                <w:ilvl w:val="0"/>
                <w:numId w:val="18"/>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Round cell infiltration</w:t>
            </w:r>
          </w:p>
        </w:tc>
        <w:tc>
          <w:tcPr>
            <w:tcW w:w="2811" w:type="dxa"/>
          </w:tcPr>
          <w:p w14:paraId="4DF8D456"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20%</w:t>
            </w:r>
          </w:p>
        </w:tc>
      </w:tr>
      <w:tr w:rsidR="006C6A90" w:rsidRPr="009E430A" w14:paraId="3EC3A631" w14:textId="77777777" w:rsidTr="006C6A90">
        <w:trPr>
          <w:gridAfter w:val="1"/>
          <w:wAfter w:w="2811" w:type="dxa"/>
        </w:trPr>
        <w:tc>
          <w:tcPr>
            <w:cnfStyle w:val="001000000000" w:firstRow="0" w:lastRow="0" w:firstColumn="1" w:lastColumn="0" w:oddVBand="0" w:evenVBand="0" w:oddHBand="0" w:evenHBand="0" w:firstRowFirstColumn="0" w:firstRowLastColumn="0" w:lastRowFirstColumn="0" w:lastRowLastColumn="0"/>
            <w:tcW w:w="6205" w:type="dxa"/>
          </w:tcPr>
          <w:p w14:paraId="5EAD708C" w14:textId="77777777" w:rsidR="006C6A90" w:rsidRPr="009E430A" w:rsidRDefault="006C6A90" w:rsidP="006C6A90">
            <w:pPr>
              <w:pStyle w:val="ListParagraph"/>
              <w:numPr>
                <w:ilvl w:val="0"/>
                <w:numId w:val="15"/>
              </w:numPr>
              <w:bidi w:val="0"/>
              <w:spacing w:line="276" w:lineRule="auto"/>
              <w:jc w:val="both"/>
              <w:rPr>
                <w:rFonts w:asciiTheme="majorBidi" w:eastAsia="Calibri" w:hAnsiTheme="majorBidi" w:cstheme="majorBidi"/>
                <w:bCs w:val="0"/>
                <w:iCs/>
                <w:sz w:val="24"/>
                <w:szCs w:val="24"/>
                <w:lang w:val="en-GB"/>
              </w:rPr>
            </w:pPr>
            <w:r w:rsidRPr="009E430A">
              <w:rPr>
                <w:rFonts w:asciiTheme="majorBidi" w:eastAsia="Calibri" w:hAnsiTheme="majorBidi" w:cstheme="majorBidi"/>
                <w:iCs/>
                <w:sz w:val="24"/>
                <w:szCs w:val="24"/>
                <w:lang w:val="en-GB"/>
              </w:rPr>
              <w:t xml:space="preserve">Heart: </w:t>
            </w:r>
          </w:p>
        </w:tc>
      </w:tr>
      <w:tr w:rsidR="006C6A90" w:rsidRPr="00B97026" w14:paraId="5573B5BB"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72CB7EE3" w14:textId="77777777" w:rsidR="006C6A90" w:rsidRPr="00B97026" w:rsidRDefault="006C6A90" w:rsidP="006C6A90">
            <w:pPr>
              <w:pStyle w:val="ListParagraph"/>
              <w:numPr>
                <w:ilvl w:val="0"/>
                <w:numId w:val="19"/>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Congestion</w:t>
            </w:r>
          </w:p>
        </w:tc>
        <w:tc>
          <w:tcPr>
            <w:tcW w:w="2811" w:type="dxa"/>
          </w:tcPr>
          <w:p w14:paraId="03CFC98C"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100%</w:t>
            </w:r>
          </w:p>
        </w:tc>
      </w:tr>
      <w:tr w:rsidR="006C6A90" w:rsidRPr="00B97026" w14:paraId="26F6F2C5"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530FB7C6" w14:textId="77777777" w:rsidR="006C6A90" w:rsidRPr="00B97026" w:rsidRDefault="006C6A90" w:rsidP="006C6A90">
            <w:pPr>
              <w:pStyle w:val="ListParagraph"/>
              <w:numPr>
                <w:ilvl w:val="0"/>
                <w:numId w:val="19"/>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rPr>
              <w:t>Focal myocardial necrosis</w:t>
            </w:r>
          </w:p>
        </w:tc>
        <w:tc>
          <w:tcPr>
            <w:tcW w:w="2811" w:type="dxa"/>
          </w:tcPr>
          <w:p w14:paraId="1D0A15E7"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90%</w:t>
            </w:r>
          </w:p>
        </w:tc>
      </w:tr>
      <w:tr w:rsidR="006C6A90" w:rsidRPr="00B97026" w14:paraId="1C1B70BD"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6ACC3DB7" w14:textId="77777777" w:rsidR="006C6A90" w:rsidRPr="00B97026" w:rsidRDefault="006C6A90" w:rsidP="006C6A90">
            <w:pPr>
              <w:pStyle w:val="ListParagraph"/>
              <w:numPr>
                <w:ilvl w:val="0"/>
                <w:numId w:val="19"/>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Round cell infiltration</w:t>
            </w:r>
          </w:p>
        </w:tc>
        <w:tc>
          <w:tcPr>
            <w:tcW w:w="2811" w:type="dxa"/>
          </w:tcPr>
          <w:p w14:paraId="386880A1"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30%</w:t>
            </w:r>
          </w:p>
        </w:tc>
      </w:tr>
      <w:tr w:rsidR="006C6A90" w:rsidRPr="00B97026" w14:paraId="762EAAD2" w14:textId="77777777" w:rsidTr="006C6A90">
        <w:tc>
          <w:tcPr>
            <w:cnfStyle w:val="001000000000" w:firstRow="0" w:lastRow="0" w:firstColumn="1" w:lastColumn="0" w:oddVBand="0" w:evenVBand="0" w:oddHBand="0" w:evenHBand="0" w:firstRowFirstColumn="0" w:firstRowLastColumn="0" w:lastRowFirstColumn="0" w:lastRowLastColumn="0"/>
            <w:tcW w:w="9016" w:type="dxa"/>
            <w:gridSpan w:val="2"/>
          </w:tcPr>
          <w:p w14:paraId="63C0CABD" w14:textId="77777777" w:rsidR="006C6A90" w:rsidRPr="00B97026" w:rsidRDefault="006C6A90" w:rsidP="006C6A90">
            <w:pPr>
              <w:pStyle w:val="ListParagraph"/>
              <w:numPr>
                <w:ilvl w:val="0"/>
                <w:numId w:val="15"/>
              </w:numPr>
              <w:bidi w:val="0"/>
              <w:spacing w:line="276" w:lineRule="auto"/>
              <w:jc w:val="both"/>
              <w:rPr>
                <w:rFonts w:asciiTheme="majorBidi" w:eastAsia="Calibri" w:hAnsiTheme="majorBidi" w:cstheme="majorBidi"/>
                <w:iCs/>
                <w:sz w:val="24"/>
                <w:szCs w:val="24"/>
                <w:lang w:val="en-GB"/>
              </w:rPr>
            </w:pPr>
            <w:r w:rsidRPr="00B97026">
              <w:rPr>
                <w:rFonts w:asciiTheme="majorBidi" w:eastAsia="Calibri" w:hAnsiTheme="majorBidi" w:cstheme="majorBidi"/>
                <w:iCs/>
                <w:sz w:val="24"/>
                <w:szCs w:val="24"/>
                <w:lang w:val="en-GB"/>
              </w:rPr>
              <w:t>Liver:</w:t>
            </w:r>
          </w:p>
        </w:tc>
      </w:tr>
      <w:tr w:rsidR="006C6A90" w:rsidRPr="00B97026" w14:paraId="569870D2"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775C2549" w14:textId="77777777" w:rsidR="006C6A90" w:rsidRPr="00B97026" w:rsidRDefault="006C6A90" w:rsidP="006C6A90">
            <w:pPr>
              <w:pStyle w:val="ListParagraph"/>
              <w:numPr>
                <w:ilvl w:val="0"/>
                <w:numId w:val="16"/>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Congestion</w:t>
            </w:r>
          </w:p>
        </w:tc>
        <w:tc>
          <w:tcPr>
            <w:tcW w:w="2811" w:type="dxa"/>
          </w:tcPr>
          <w:p w14:paraId="250F4A0C"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100%</w:t>
            </w:r>
          </w:p>
        </w:tc>
      </w:tr>
      <w:tr w:rsidR="006C6A90" w:rsidRPr="00B97026" w14:paraId="5296FD55"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312D068D" w14:textId="77777777" w:rsidR="006C6A90" w:rsidRPr="00B97026" w:rsidRDefault="006C6A90" w:rsidP="006C6A90">
            <w:pPr>
              <w:pStyle w:val="ListParagraph"/>
              <w:numPr>
                <w:ilvl w:val="0"/>
                <w:numId w:val="16"/>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Mild fatty infiltration</w:t>
            </w:r>
          </w:p>
        </w:tc>
        <w:tc>
          <w:tcPr>
            <w:tcW w:w="2811" w:type="dxa"/>
          </w:tcPr>
          <w:p w14:paraId="27611608"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60%</w:t>
            </w:r>
          </w:p>
        </w:tc>
      </w:tr>
      <w:tr w:rsidR="006C6A90" w:rsidRPr="00B97026" w14:paraId="74969508"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05818A36" w14:textId="77777777" w:rsidR="006C6A90" w:rsidRPr="00B97026" w:rsidRDefault="006C6A90" w:rsidP="006C6A90">
            <w:pPr>
              <w:pStyle w:val="ListParagraph"/>
              <w:numPr>
                <w:ilvl w:val="0"/>
                <w:numId w:val="16"/>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Centrizonal necrosis</w:t>
            </w:r>
          </w:p>
        </w:tc>
        <w:tc>
          <w:tcPr>
            <w:tcW w:w="2811" w:type="dxa"/>
          </w:tcPr>
          <w:p w14:paraId="559FF569"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iCs/>
                <w:sz w:val="24"/>
                <w:szCs w:val="24"/>
                <w:lang w:val="en-GB"/>
              </w:rPr>
            </w:pPr>
            <w:r>
              <w:rPr>
                <w:rFonts w:asciiTheme="majorBidi" w:eastAsia="Calibri" w:hAnsiTheme="majorBidi" w:cstheme="majorBidi"/>
                <w:bCs/>
                <w:iCs/>
                <w:sz w:val="24"/>
                <w:szCs w:val="24"/>
                <w:lang w:val="en-GB"/>
              </w:rPr>
              <w:t>100%</w:t>
            </w:r>
          </w:p>
        </w:tc>
      </w:tr>
      <w:tr w:rsidR="006C6A90" w:rsidRPr="00B97026" w14:paraId="6C666393" w14:textId="77777777" w:rsidTr="006C6A90">
        <w:tc>
          <w:tcPr>
            <w:cnfStyle w:val="001000000000" w:firstRow="0" w:lastRow="0" w:firstColumn="1" w:lastColumn="0" w:oddVBand="0" w:evenVBand="0" w:oddHBand="0" w:evenHBand="0" w:firstRowFirstColumn="0" w:firstRowLastColumn="0" w:lastRowFirstColumn="0" w:lastRowLastColumn="0"/>
            <w:tcW w:w="9016" w:type="dxa"/>
            <w:gridSpan w:val="2"/>
          </w:tcPr>
          <w:p w14:paraId="4FE05695" w14:textId="77777777" w:rsidR="006C6A90" w:rsidRPr="009E430A" w:rsidRDefault="006C6A90" w:rsidP="006C6A90">
            <w:pPr>
              <w:pStyle w:val="ListParagraph"/>
              <w:numPr>
                <w:ilvl w:val="0"/>
                <w:numId w:val="15"/>
              </w:numPr>
              <w:bidi w:val="0"/>
              <w:spacing w:line="276" w:lineRule="auto"/>
              <w:jc w:val="both"/>
              <w:rPr>
                <w:rFonts w:asciiTheme="majorBidi" w:eastAsia="Calibri" w:hAnsiTheme="majorBidi" w:cstheme="majorBidi"/>
                <w:bCs w:val="0"/>
                <w:iCs/>
                <w:sz w:val="24"/>
                <w:szCs w:val="24"/>
                <w:lang w:val="en-GB"/>
              </w:rPr>
            </w:pPr>
            <w:r w:rsidRPr="009E430A">
              <w:rPr>
                <w:rFonts w:asciiTheme="majorBidi" w:eastAsia="Calibri" w:hAnsiTheme="majorBidi" w:cstheme="majorBidi"/>
                <w:iCs/>
                <w:sz w:val="24"/>
                <w:szCs w:val="24"/>
                <w:lang w:val="en-GB"/>
              </w:rPr>
              <w:t>Spleen:</w:t>
            </w:r>
          </w:p>
        </w:tc>
      </w:tr>
      <w:tr w:rsidR="006C6A90" w:rsidRPr="00B97026" w14:paraId="2491C07A" w14:textId="77777777" w:rsidTr="006C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2F06E940" w14:textId="77777777" w:rsidR="006C6A90" w:rsidRPr="00B97026" w:rsidRDefault="006C6A90" w:rsidP="006C6A90">
            <w:pPr>
              <w:pStyle w:val="ListParagraph"/>
              <w:numPr>
                <w:ilvl w:val="0"/>
                <w:numId w:val="22"/>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Congestion</w:t>
            </w:r>
          </w:p>
        </w:tc>
        <w:tc>
          <w:tcPr>
            <w:tcW w:w="2811" w:type="dxa"/>
          </w:tcPr>
          <w:p w14:paraId="372F16FD" w14:textId="77777777" w:rsidR="006C6A90" w:rsidRPr="00B97026" w:rsidRDefault="006C6A90" w:rsidP="00DB7E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iCs/>
                <w:sz w:val="24"/>
                <w:szCs w:val="24"/>
                <w:lang w:val="en-GB"/>
              </w:rPr>
            </w:pPr>
            <w:r w:rsidRPr="008B32DF">
              <w:rPr>
                <w:rFonts w:asciiTheme="majorBidi" w:eastAsia="Calibri" w:hAnsiTheme="majorBidi" w:cstheme="majorBidi"/>
                <w:bCs/>
                <w:iCs/>
                <w:sz w:val="24"/>
                <w:szCs w:val="24"/>
                <w:lang w:val="en-GB"/>
              </w:rPr>
              <w:t>100%</w:t>
            </w:r>
          </w:p>
        </w:tc>
      </w:tr>
      <w:tr w:rsidR="006C6A90" w:rsidRPr="00B97026" w14:paraId="6592B0E7" w14:textId="77777777" w:rsidTr="006C6A90">
        <w:tc>
          <w:tcPr>
            <w:cnfStyle w:val="001000000000" w:firstRow="0" w:lastRow="0" w:firstColumn="1" w:lastColumn="0" w:oddVBand="0" w:evenVBand="0" w:oddHBand="0" w:evenHBand="0" w:firstRowFirstColumn="0" w:firstRowLastColumn="0" w:lastRowFirstColumn="0" w:lastRowLastColumn="0"/>
            <w:tcW w:w="6205" w:type="dxa"/>
          </w:tcPr>
          <w:p w14:paraId="0691D6A0" w14:textId="77777777" w:rsidR="006C6A90" w:rsidRPr="00B97026" w:rsidRDefault="006C6A90" w:rsidP="006C6A90">
            <w:pPr>
              <w:pStyle w:val="ListParagraph"/>
              <w:numPr>
                <w:ilvl w:val="0"/>
                <w:numId w:val="22"/>
              </w:numPr>
              <w:bidi w:val="0"/>
              <w:spacing w:line="276" w:lineRule="auto"/>
              <w:jc w:val="both"/>
              <w:rPr>
                <w:rFonts w:asciiTheme="majorBidi" w:eastAsia="Calibri" w:hAnsiTheme="majorBidi" w:cstheme="majorBidi"/>
                <w:b w:val="0"/>
                <w:bCs w:val="0"/>
                <w:iCs/>
                <w:sz w:val="24"/>
                <w:szCs w:val="24"/>
                <w:lang w:val="en-GB"/>
              </w:rPr>
            </w:pPr>
            <w:r w:rsidRPr="00B97026">
              <w:rPr>
                <w:rFonts w:asciiTheme="majorBidi" w:eastAsia="Calibri" w:hAnsiTheme="majorBidi" w:cstheme="majorBidi"/>
                <w:b w:val="0"/>
                <w:bCs w:val="0"/>
                <w:iCs/>
                <w:sz w:val="24"/>
                <w:szCs w:val="24"/>
                <w:lang w:val="en-GB"/>
              </w:rPr>
              <w:t>Necrosis</w:t>
            </w:r>
          </w:p>
        </w:tc>
        <w:tc>
          <w:tcPr>
            <w:tcW w:w="2811" w:type="dxa"/>
          </w:tcPr>
          <w:p w14:paraId="23E3647C" w14:textId="77777777" w:rsidR="006C6A90" w:rsidRPr="00B97026" w:rsidRDefault="006C6A90" w:rsidP="00DB7E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Cs/>
                <w:sz w:val="24"/>
                <w:szCs w:val="24"/>
                <w:lang w:val="en-GB"/>
              </w:rPr>
            </w:pPr>
            <w:r>
              <w:rPr>
                <w:rFonts w:asciiTheme="majorBidi" w:eastAsia="Calibri" w:hAnsiTheme="majorBidi" w:cstheme="majorBidi"/>
                <w:iCs/>
                <w:sz w:val="24"/>
                <w:szCs w:val="24"/>
                <w:lang w:val="en-GB"/>
              </w:rPr>
              <w:t>70%</w:t>
            </w:r>
          </w:p>
        </w:tc>
      </w:tr>
      <w:bookmarkEnd w:id="8"/>
    </w:tbl>
    <w:p w14:paraId="3D355BEB" w14:textId="77777777" w:rsidR="006C6A90" w:rsidRPr="002B7EF1" w:rsidRDefault="006C6A90" w:rsidP="006C6A90">
      <w:pPr>
        <w:bidi w:val="0"/>
        <w:rPr>
          <w:lang w:bidi="ar-EG"/>
        </w:rPr>
      </w:pPr>
    </w:p>
    <w:p w14:paraId="704BA351" w14:textId="77777777" w:rsidR="008A4441" w:rsidRDefault="008A4441" w:rsidP="008A4441">
      <w:pPr>
        <w:bidi w:val="0"/>
        <w:rPr>
          <w:rFonts w:ascii="Times New Roman" w:eastAsia="Times New Roman" w:hAnsi="Times New Roman" w:cs="Times New Roman"/>
          <w:b/>
          <w:bCs/>
          <w:sz w:val="24"/>
          <w:szCs w:val="24"/>
          <w:lang w:bidi="ar-EG"/>
        </w:rPr>
      </w:pPr>
    </w:p>
    <w:p w14:paraId="14405779" w14:textId="6E0FFFD0" w:rsidR="006116F3" w:rsidRDefault="006116F3" w:rsidP="006116F3">
      <w:pPr>
        <w:bidi w:val="0"/>
        <w:rPr>
          <w:rFonts w:ascii="Times New Roman" w:eastAsia="Times New Roman" w:hAnsi="Times New Roman" w:cs="Times New Roman"/>
          <w:b/>
          <w:bCs/>
          <w:sz w:val="24"/>
          <w:szCs w:val="24"/>
          <w:lang w:bidi="ar-EG"/>
        </w:rPr>
      </w:pPr>
      <w:r>
        <w:rPr>
          <w:noProof/>
        </w:rPr>
        <w:drawing>
          <wp:inline distT="0" distB="0" distL="0" distR="0" wp14:anchorId="2B72E0B2" wp14:editId="7C63AA5B">
            <wp:extent cx="6304915" cy="2857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655" t="24820" r="24031" b="31689"/>
                    <a:stretch/>
                  </pic:blipFill>
                  <pic:spPr bwMode="auto">
                    <a:xfrm>
                      <a:off x="0" y="0"/>
                      <a:ext cx="6305253" cy="2857653"/>
                    </a:xfrm>
                    <a:prstGeom prst="rect">
                      <a:avLst/>
                    </a:prstGeom>
                    <a:ln>
                      <a:noFill/>
                    </a:ln>
                    <a:extLst>
                      <a:ext uri="{53640926-AAD7-44D8-BBD7-CCE9431645EC}">
                        <a14:shadowObscured xmlns:a14="http://schemas.microsoft.com/office/drawing/2010/main"/>
                      </a:ext>
                    </a:extLst>
                  </pic:spPr>
                </pic:pic>
              </a:graphicData>
            </a:graphic>
          </wp:inline>
        </w:drawing>
      </w:r>
    </w:p>
    <w:p w14:paraId="313401A1" w14:textId="3AB7D565" w:rsidR="006116F3" w:rsidRPr="006116F3" w:rsidRDefault="006116F3" w:rsidP="006116F3">
      <w:pPr>
        <w:bidi w:val="0"/>
        <w:spacing w:after="0" w:line="240" w:lineRule="auto"/>
        <w:jc w:val="both"/>
        <w:rPr>
          <w:rFonts w:asciiTheme="majorBidi" w:eastAsia="Calibri" w:hAnsiTheme="majorBidi" w:cstheme="majorBidi"/>
          <w:sz w:val="24"/>
          <w:szCs w:val="24"/>
        </w:rPr>
      </w:pPr>
      <w:bookmarkStart w:id="9" w:name="_Hlk111725005"/>
      <w:r w:rsidRPr="006116F3">
        <w:rPr>
          <w:rFonts w:asciiTheme="majorBidi" w:eastAsia="Calibri" w:hAnsiTheme="majorBidi" w:cstheme="majorBidi"/>
          <w:b/>
          <w:bCs/>
          <w:sz w:val="24"/>
          <w:szCs w:val="24"/>
        </w:rPr>
        <w:t xml:space="preserve">Fig. 1: (a): </w:t>
      </w:r>
      <w:r w:rsidRPr="006116F3">
        <w:rPr>
          <w:rFonts w:asciiTheme="majorBidi" w:eastAsia="Calibri" w:hAnsiTheme="majorBidi" w:cstheme="majorBidi"/>
          <w:sz w:val="24"/>
          <w:szCs w:val="24"/>
        </w:rPr>
        <w:t>A photomicrograph of fundic mucosa</w:t>
      </w:r>
      <w:r w:rsidR="006C6A90">
        <w:rPr>
          <w:rFonts w:asciiTheme="majorBidi" w:eastAsia="Calibri" w:hAnsiTheme="majorBidi" w:cstheme="majorBidi"/>
          <w:sz w:val="24"/>
          <w:szCs w:val="24"/>
        </w:rPr>
        <w:t xml:space="preserve"> in the stomach</w:t>
      </w:r>
      <w:r w:rsidRPr="006116F3">
        <w:rPr>
          <w:rFonts w:asciiTheme="majorBidi" w:eastAsia="Calibri" w:hAnsiTheme="majorBidi" w:cstheme="majorBidi"/>
          <w:sz w:val="24"/>
          <w:szCs w:val="24"/>
        </w:rPr>
        <w:t xml:space="preserve"> of </w:t>
      </w:r>
      <w:r w:rsidR="00C328D3">
        <w:rPr>
          <w:rFonts w:asciiTheme="majorBidi" w:eastAsia="Calibri" w:hAnsiTheme="majorBidi" w:cstheme="majorBidi"/>
          <w:sz w:val="24"/>
          <w:szCs w:val="24"/>
        </w:rPr>
        <w:t xml:space="preserve">control </w:t>
      </w:r>
      <w:r w:rsidRPr="006116F3">
        <w:rPr>
          <w:rFonts w:asciiTheme="majorBidi" w:eastAsia="Calibri" w:hAnsiTheme="majorBidi" w:cstheme="majorBidi"/>
          <w:sz w:val="24"/>
          <w:szCs w:val="24"/>
        </w:rPr>
        <w:t xml:space="preserve">corpse of 24 years old male showing </w:t>
      </w:r>
      <w:bookmarkEnd w:id="9"/>
      <w:r w:rsidRPr="006116F3">
        <w:rPr>
          <w:rFonts w:asciiTheme="majorBidi" w:eastAsia="Calibri" w:hAnsiTheme="majorBidi" w:cstheme="majorBidi"/>
          <w:sz w:val="24"/>
          <w:szCs w:val="24"/>
        </w:rPr>
        <w:t xml:space="preserve">the </w:t>
      </w:r>
      <w:bookmarkStart w:id="10" w:name="_Hlk111725057"/>
      <w:r w:rsidRPr="006116F3">
        <w:rPr>
          <w:rFonts w:asciiTheme="majorBidi" w:eastAsia="Calibri" w:hAnsiTheme="majorBidi" w:cstheme="majorBidi"/>
          <w:sz w:val="24"/>
          <w:szCs w:val="24"/>
        </w:rPr>
        <w:t>normal architecture of</w:t>
      </w:r>
      <w:bookmarkEnd w:id="10"/>
      <w:r w:rsidRPr="006116F3">
        <w:rPr>
          <w:rFonts w:asciiTheme="majorBidi" w:eastAsia="Calibri" w:hAnsiTheme="majorBidi" w:cstheme="majorBidi"/>
          <w:sz w:val="24"/>
          <w:szCs w:val="24"/>
        </w:rPr>
        <w:t xml:space="preserve"> the gastric mucosa with normal epithelial lining (▲ arrow heads). The lamina propria is occupied with the fundic glands </w:t>
      </w:r>
      <w:r w:rsidRPr="006116F3">
        <w:rPr>
          <w:rFonts w:asciiTheme="majorBidi" w:eastAsia="Calibri" w:hAnsiTheme="majorBidi" w:cstheme="majorBidi"/>
          <w:b/>
          <w:bCs/>
          <w:sz w:val="24"/>
          <w:szCs w:val="24"/>
        </w:rPr>
        <w:t>(G)</w:t>
      </w:r>
      <w:r w:rsidRPr="006116F3">
        <w:rPr>
          <w:rFonts w:asciiTheme="majorBidi" w:eastAsia="Calibri" w:hAnsiTheme="majorBidi" w:cstheme="majorBidi"/>
          <w:sz w:val="24"/>
          <w:szCs w:val="24"/>
        </w:rPr>
        <w:t xml:space="preserve">. The gastric pits </w:t>
      </w:r>
      <w:r w:rsidRPr="006116F3">
        <w:rPr>
          <w:rFonts w:asciiTheme="majorBidi" w:eastAsia="Calibri" w:hAnsiTheme="majorBidi" w:cstheme="majorBidi"/>
          <w:b/>
          <w:bCs/>
          <w:sz w:val="24"/>
          <w:szCs w:val="24"/>
        </w:rPr>
        <w:t>(GP)</w:t>
      </w:r>
      <w:r w:rsidRPr="006116F3">
        <w:rPr>
          <w:rFonts w:asciiTheme="majorBidi" w:eastAsia="Calibri" w:hAnsiTheme="majorBidi" w:cstheme="majorBidi"/>
          <w:sz w:val="24"/>
          <w:szCs w:val="24"/>
        </w:rPr>
        <w:t xml:space="preserve"> are seen </w:t>
      </w:r>
      <w:r w:rsidRPr="006116F3">
        <w:rPr>
          <w:rFonts w:asciiTheme="majorBidi" w:eastAsia="Calibri" w:hAnsiTheme="majorBidi" w:cstheme="majorBidi"/>
          <w:b/>
          <w:bCs/>
          <w:sz w:val="24"/>
          <w:szCs w:val="24"/>
        </w:rPr>
        <w:t xml:space="preserve">(H&amp;E x400). </w:t>
      </w:r>
      <w:bookmarkStart w:id="11" w:name="_Hlk109538851"/>
      <w:r w:rsidRPr="006116F3">
        <w:rPr>
          <w:rFonts w:asciiTheme="majorBidi" w:eastAsia="Calibri" w:hAnsiTheme="majorBidi" w:cstheme="majorBidi"/>
          <w:b/>
          <w:bCs/>
          <w:sz w:val="24"/>
          <w:szCs w:val="24"/>
        </w:rPr>
        <w:t>(b)</w:t>
      </w:r>
      <w:r w:rsidRPr="006116F3">
        <w:rPr>
          <w:rFonts w:asciiTheme="majorBidi" w:eastAsia="Calibri" w:hAnsiTheme="majorBidi" w:cstheme="majorBidi"/>
          <w:sz w:val="24"/>
          <w:szCs w:val="24"/>
        </w:rPr>
        <w:t xml:space="preserve">: </w:t>
      </w:r>
      <w:bookmarkStart w:id="12" w:name="_Hlk111072483"/>
      <w:r w:rsidRPr="006116F3">
        <w:rPr>
          <w:rFonts w:asciiTheme="majorBidi" w:eastAsia="Calibri" w:hAnsiTheme="majorBidi" w:cstheme="majorBidi"/>
          <w:sz w:val="24"/>
          <w:szCs w:val="24"/>
        </w:rPr>
        <w:t xml:space="preserve">A photomicrograph section in human stomach prepared from Aluminum phosphide poisoning case showing sever edema, necrosis and inflammatory cell infiltration </w:t>
      </w:r>
      <w:r w:rsidRPr="006116F3">
        <w:rPr>
          <w:rFonts w:asciiTheme="majorBidi" w:eastAsia="Calibri" w:hAnsiTheme="majorBidi" w:cstheme="majorBidi"/>
          <w:b/>
          <w:bCs/>
          <w:sz w:val="24"/>
          <w:szCs w:val="24"/>
        </w:rPr>
        <w:t>(O).</w:t>
      </w:r>
      <w:r w:rsidRPr="006116F3">
        <w:rPr>
          <w:rFonts w:asciiTheme="majorBidi" w:eastAsia="Calibri" w:hAnsiTheme="majorBidi" w:cstheme="majorBidi"/>
          <w:sz w:val="24"/>
          <w:szCs w:val="24"/>
        </w:rPr>
        <w:t xml:space="preserve"> Marked damage of most of the cells </w:t>
      </w:r>
      <w:r w:rsidRPr="006116F3">
        <w:rPr>
          <w:rFonts w:asciiTheme="majorBidi" w:eastAsia="Calibri" w:hAnsiTheme="majorBidi" w:cstheme="majorBidi"/>
          <w:b/>
          <w:bCs/>
          <w:sz w:val="24"/>
          <w:szCs w:val="24"/>
        </w:rPr>
        <w:t>(arrow)</w:t>
      </w:r>
      <w:r w:rsidRPr="006116F3">
        <w:rPr>
          <w:rFonts w:asciiTheme="majorBidi" w:eastAsia="Calibri" w:hAnsiTheme="majorBidi" w:cstheme="majorBidi"/>
          <w:sz w:val="24"/>
          <w:szCs w:val="24"/>
        </w:rPr>
        <w:t xml:space="preserve"> and exfoliated dead cells appear in the lumen (▲) </w:t>
      </w:r>
      <w:r w:rsidRPr="006116F3">
        <w:rPr>
          <w:rFonts w:asciiTheme="majorBidi" w:eastAsia="Calibri" w:hAnsiTheme="majorBidi" w:cstheme="majorBidi"/>
          <w:b/>
          <w:bCs/>
          <w:sz w:val="24"/>
          <w:szCs w:val="24"/>
        </w:rPr>
        <w:t>(H &amp; E x 400).</w:t>
      </w:r>
      <w:bookmarkEnd w:id="11"/>
      <w:bookmarkEnd w:id="12"/>
      <w:r w:rsidRPr="006116F3">
        <w:rPr>
          <w:rFonts w:asciiTheme="majorBidi" w:eastAsia="Calibri" w:hAnsiTheme="majorBidi" w:cstheme="majorBidi"/>
          <w:b/>
          <w:bCs/>
          <w:sz w:val="24"/>
          <w:szCs w:val="24"/>
        </w:rPr>
        <w:t xml:space="preserve"> </w:t>
      </w:r>
      <w:bookmarkStart w:id="13" w:name="_Hlk111730261"/>
      <w:r w:rsidRPr="006116F3">
        <w:rPr>
          <w:rFonts w:asciiTheme="majorBidi" w:eastAsia="Calibri" w:hAnsiTheme="majorBidi" w:cstheme="majorBidi"/>
          <w:b/>
          <w:bCs/>
          <w:sz w:val="24"/>
          <w:szCs w:val="24"/>
        </w:rPr>
        <w:t xml:space="preserve">(c): </w:t>
      </w:r>
      <w:r w:rsidRPr="006116F3">
        <w:rPr>
          <w:rFonts w:asciiTheme="majorBidi" w:eastAsia="Calibri" w:hAnsiTheme="majorBidi" w:cstheme="majorBidi"/>
          <w:sz w:val="24"/>
          <w:szCs w:val="24"/>
        </w:rPr>
        <w:t>A photomicrograph of fundic mucosa</w:t>
      </w:r>
      <w:r w:rsidR="006C6A90">
        <w:rPr>
          <w:rFonts w:asciiTheme="majorBidi" w:eastAsia="Calibri" w:hAnsiTheme="majorBidi" w:cstheme="majorBidi"/>
          <w:sz w:val="24"/>
          <w:szCs w:val="24"/>
        </w:rPr>
        <w:t xml:space="preserve"> in the duodenum</w:t>
      </w:r>
      <w:r w:rsidRPr="006116F3">
        <w:rPr>
          <w:rFonts w:asciiTheme="majorBidi" w:eastAsia="Calibri" w:hAnsiTheme="majorBidi" w:cstheme="majorBidi"/>
          <w:sz w:val="24"/>
          <w:szCs w:val="24"/>
        </w:rPr>
        <w:t xml:space="preserve"> of corpse of 24 years old male died from mechanical cause showing </w:t>
      </w:r>
      <w:bookmarkEnd w:id="13"/>
      <w:r w:rsidRPr="006116F3">
        <w:rPr>
          <w:rFonts w:asciiTheme="majorBidi" w:eastAsia="Calibri" w:hAnsiTheme="majorBidi" w:cstheme="majorBidi"/>
          <w:sz w:val="24"/>
          <w:szCs w:val="24"/>
        </w:rPr>
        <w:t xml:space="preserve">normal architecture of mucosal villi </w:t>
      </w:r>
      <w:r w:rsidRPr="006116F3">
        <w:rPr>
          <w:rFonts w:asciiTheme="majorBidi" w:eastAsia="Calibri" w:hAnsiTheme="majorBidi" w:cstheme="majorBidi"/>
          <w:b/>
          <w:bCs/>
          <w:sz w:val="24"/>
          <w:szCs w:val="24"/>
        </w:rPr>
        <w:t>(arrow)</w:t>
      </w:r>
      <w:r w:rsidRPr="006116F3">
        <w:rPr>
          <w:rFonts w:asciiTheme="majorBidi" w:eastAsia="Calibri" w:hAnsiTheme="majorBidi" w:cstheme="majorBidi"/>
          <w:sz w:val="24"/>
          <w:szCs w:val="24"/>
        </w:rPr>
        <w:t xml:space="preserve"> and submucosal layer containing normal burner’s glands </w:t>
      </w:r>
      <w:r w:rsidRPr="006116F3">
        <w:rPr>
          <w:rFonts w:asciiTheme="majorBidi" w:eastAsia="Calibri" w:hAnsiTheme="majorBidi" w:cstheme="majorBidi"/>
          <w:b/>
          <w:bCs/>
          <w:sz w:val="24"/>
          <w:szCs w:val="24"/>
        </w:rPr>
        <w:t>(*)</w:t>
      </w:r>
      <w:r w:rsidRPr="006116F3">
        <w:rPr>
          <w:rFonts w:asciiTheme="majorBidi" w:eastAsia="Calibri" w:hAnsiTheme="majorBidi" w:cstheme="majorBidi"/>
          <w:sz w:val="24"/>
          <w:szCs w:val="24"/>
        </w:rPr>
        <w:t xml:space="preserve"> with normal intraepithelial lymphocytes </w:t>
      </w:r>
      <w:r w:rsidRPr="006116F3">
        <w:rPr>
          <w:rFonts w:asciiTheme="majorBidi" w:eastAsia="Calibri" w:hAnsiTheme="majorBidi" w:cstheme="majorBidi"/>
          <w:b/>
          <w:bCs/>
          <w:sz w:val="24"/>
          <w:szCs w:val="24"/>
        </w:rPr>
        <w:t>(H &amp; E x200). (d)</w:t>
      </w:r>
      <w:r w:rsidRPr="006116F3">
        <w:rPr>
          <w:rFonts w:asciiTheme="majorBidi" w:eastAsia="Calibri" w:hAnsiTheme="majorBidi" w:cstheme="majorBidi"/>
          <w:sz w:val="24"/>
          <w:szCs w:val="24"/>
        </w:rPr>
        <w:t xml:space="preserve">: </w:t>
      </w:r>
      <w:bookmarkStart w:id="14" w:name="_Hlk111072503"/>
      <w:r w:rsidRPr="006116F3">
        <w:rPr>
          <w:rFonts w:asciiTheme="majorBidi" w:eastAsia="Calibri" w:hAnsiTheme="majorBidi" w:cstheme="majorBidi"/>
          <w:sz w:val="24"/>
          <w:szCs w:val="24"/>
        </w:rPr>
        <w:t xml:space="preserve">A photomicrograph section in human duodenum prepared from Aluminum phosphide poisoning case showing sever congestion &amp; edema, inflammatory cell infiltration (O) and complete architecture destruction of mucosa &amp; submucosal layers </w:t>
      </w:r>
      <w:r w:rsidRPr="006116F3">
        <w:rPr>
          <w:rFonts w:asciiTheme="majorBidi" w:eastAsia="Calibri" w:hAnsiTheme="majorBidi" w:cstheme="majorBidi"/>
          <w:b/>
          <w:bCs/>
          <w:sz w:val="24"/>
          <w:szCs w:val="24"/>
        </w:rPr>
        <w:t>(*)</w:t>
      </w:r>
      <w:r w:rsidRPr="006116F3">
        <w:rPr>
          <w:rFonts w:asciiTheme="majorBidi" w:eastAsia="Calibri" w:hAnsiTheme="majorBidi" w:cstheme="majorBidi"/>
          <w:sz w:val="24"/>
          <w:szCs w:val="24"/>
        </w:rPr>
        <w:t xml:space="preserve"> </w:t>
      </w:r>
      <w:r w:rsidRPr="006116F3">
        <w:rPr>
          <w:rFonts w:asciiTheme="majorBidi" w:eastAsia="Calibri" w:hAnsiTheme="majorBidi" w:cstheme="majorBidi"/>
          <w:b/>
          <w:bCs/>
          <w:sz w:val="24"/>
          <w:szCs w:val="24"/>
        </w:rPr>
        <w:t xml:space="preserve">(H &amp; E x 200). </w:t>
      </w:r>
      <w:bookmarkStart w:id="15" w:name="_Hlk111738450"/>
      <w:r w:rsidRPr="006116F3">
        <w:rPr>
          <w:rFonts w:asciiTheme="majorBidi" w:eastAsia="Calibri" w:hAnsiTheme="majorBidi" w:cstheme="majorBidi"/>
          <w:b/>
          <w:bCs/>
          <w:sz w:val="24"/>
          <w:szCs w:val="24"/>
        </w:rPr>
        <w:t xml:space="preserve">(e): </w:t>
      </w:r>
      <w:r w:rsidRPr="006116F3">
        <w:rPr>
          <w:rFonts w:asciiTheme="majorBidi" w:eastAsia="Calibri" w:hAnsiTheme="majorBidi" w:cstheme="majorBidi"/>
          <w:sz w:val="24"/>
          <w:szCs w:val="24"/>
        </w:rPr>
        <w:t xml:space="preserve">A photomicrograph of kidney section for corpse of male died from mechanical cause showing normal architecture with normal tubules </w:t>
      </w:r>
      <w:r w:rsidRPr="006116F3">
        <w:rPr>
          <w:rFonts w:asciiTheme="majorBidi" w:eastAsia="Calibri" w:hAnsiTheme="majorBidi" w:cstheme="majorBidi"/>
          <w:b/>
          <w:bCs/>
          <w:sz w:val="24"/>
          <w:szCs w:val="24"/>
        </w:rPr>
        <w:t>(T)</w:t>
      </w:r>
      <w:r w:rsidRPr="006116F3">
        <w:rPr>
          <w:rFonts w:asciiTheme="majorBidi" w:eastAsia="Calibri" w:hAnsiTheme="majorBidi" w:cstheme="majorBidi"/>
          <w:sz w:val="24"/>
          <w:szCs w:val="24"/>
        </w:rPr>
        <w:t xml:space="preserve"> and glomeruli </w:t>
      </w:r>
      <w:r w:rsidRPr="006116F3">
        <w:rPr>
          <w:rFonts w:asciiTheme="majorBidi" w:eastAsia="Calibri" w:hAnsiTheme="majorBidi" w:cstheme="majorBidi"/>
          <w:b/>
          <w:bCs/>
          <w:sz w:val="24"/>
          <w:szCs w:val="24"/>
        </w:rPr>
        <w:t>(G)</w:t>
      </w:r>
      <w:r w:rsidRPr="006116F3">
        <w:rPr>
          <w:rFonts w:asciiTheme="majorBidi" w:eastAsia="Calibri" w:hAnsiTheme="majorBidi" w:cstheme="majorBidi"/>
          <w:sz w:val="24"/>
          <w:szCs w:val="24"/>
        </w:rPr>
        <w:t xml:space="preserve"> </w:t>
      </w:r>
      <w:r w:rsidRPr="006116F3">
        <w:rPr>
          <w:rFonts w:asciiTheme="majorBidi" w:eastAsia="Calibri" w:hAnsiTheme="majorBidi" w:cstheme="majorBidi"/>
          <w:b/>
          <w:bCs/>
          <w:sz w:val="24"/>
          <w:szCs w:val="24"/>
        </w:rPr>
        <w:t>(H &amp; E x 200).</w:t>
      </w:r>
      <w:bookmarkEnd w:id="15"/>
      <w:r w:rsidRPr="006116F3">
        <w:rPr>
          <w:rFonts w:asciiTheme="majorBidi" w:eastAsia="Calibri" w:hAnsiTheme="majorBidi" w:cstheme="majorBidi"/>
          <w:sz w:val="24"/>
          <w:szCs w:val="24"/>
        </w:rPr>
        <w:t xml:space="preserve"> </w:t>
      </w:r>
      <w:r w:rsidRPr="006116F3">
        <w:rPr>
          <w:rFonts w:asciiTheme="majorBidi" w:eastAsia="Calibri" w:hAnsiTheme="majorBidi" w:cstheme="majorBidi"/>
          <w:b/>
          <w:bCs/>
          <w:sz w:val="24"/>
          <w:szCs w:val="24"/>
        </w:rPr>
        <w:t>(f)</w:t>
      </w:r>
      <w:r w:rsidRPr="006116F3">
        <w:rPr>
          <w:rFonts w:asciiTheme="majorBidi" w:eastAsia="Calibri" w:hAnsiTheme="majorBidi" w:cstheme="majorBidi"/>
          <w:sz w:val="24"/>
          <w:szCs w:val="24"/>
        </w:rPr>
        <w:t xml:space="preserve">: A photomicrograph section in human kidney prepared from Aluminum phosphide poisoning case showing ghosts of tubules, sever necrosis with homogenous structureless pink material </w:t>
      </w:r>
      <w:r w:rsidRPr="006116F3">
        <w:rPr>
          <w:rFonts w:asciiTheme="majorBidi" w:eastAsia="Calibri" w:hAnsiTheme="majorBidi" w:cstheme="majorBidi"/>
          <w:b/>
          <w:bCs/>
          <w:sz w:val="24"/>
          <w:szCs w:val="24"/>
        </w:rPr>
        <w:t>(arrow)</w:t>
      </w:r>
      <w:r w:rsidRPr="006116F3">
        <w:rPr>
          <w:rFonts w:asciiTheme="majorBidi" w:eastAsia="Calibri" w:hAnsiTheme="majorBidi" w:cstheme="majorBidi"/>
          <w:sz w:val="24"/>
          <w:szCs w:val="24"/>
        </w:rPr>
        <w:t xml:space="preserve"> and inflammation </w:t>
      </w:r>
      <w:r w:rsidRPr="006116F3">
        <w:rPr>
          <w:rFonts w:asciiTheme="majorBidi" w:eastAsia="Calibri" w:hAnsiTheme="majorBidi" w:cstheme="majorBidi"/>
          <w:b/>
          <w:bCs/>
          <w:sz w:val="24"/>
          <w:szCs w:val="24"/>
        </w:rPr>
        <w:t>(O)</w:t>
      </w:r>
      <w:r w:rsidRPr="006116F3">
        <w:rPr>
          <w:rFonts w:asciiTheme="majorBidi" w:eastAsia="Calibri" w:hAnsiTheme="majorBidi" w:cstheme="majorBidi"/>
          <w:sz w:val="24"/>
          <w:szCs w:val="24"/>
        </w:rPr>
        <w:t xml:space="preserve"> </w:t>
      </w:r>
      <w:bookmarkStart w:id="16" w:name="_Hlk111730314"/>
      <w:r w:rsidRPr="006116F3">
        <w:rPr>
          <w:rFonts w:asciiTheme="majorBidi" w:eastAsia="Calibri" w:hAnsiTheme="majorBidi" w:cstheme="majorBidi"/>
          <w:b/>
          <w:bCs/>
          <w:sz w:val="24"/>
          <w:szCs w:val="24"/>
        </w:rPr>
        <w:t>(H &amp; E x 200).</w:t>
      </w:r>
      <w:bookmarkEnd w:id="16"/>
      <w:r w:rsidRPr="006116F3">
        <w:rPr>
          <w:rFonts w:asciiTheme="majorBidi" w:eastAsia="Calibri" w:hAnsiTheme="majorBidi" w:cstheme="majorBidi"/>
          <w:b/>
          <w:bCs/>
          <w:sz w:val="24"/>
          <w:szCs w:val="24"/>
        </w:rPr>
        <w:t xml:space="preserve"> </w:t>
      </w:r>
      <w:bookmarkStart w:id="17" w:name="_Hlk111751530"/>
      <w:bookmarkEnd w:id="14"/>
      <w:r w:rsidRPr="006116F3">
        <w:rPr>
          <w:rFonts w:asciiTheme="majorBidi" w:eastAsia="Calibri" w:hAnsiTheme="majorBidi" w:cstheme="majorBidi"/>
          <w:b/>
          <w:bCs/>
          <w:sz w:val="24"/>
          <w:szCs w:val="24"/>
        </w:rPr>
        <w:t xml:space="preserve">(g): </w:t>
      </w:r>
      <w:r w:rsidRPr="006116F3">
        <w:rPr>
          <w:rFonts w:asciiTheme="majorBidi" w:eastAsia="Calibri" w:hAnsiTheme="majorBidi" w:cstheme="majorBidi"/>
          <w:sz w:val="24"/>
          <w:szCs w:val="24"/>
        </w:rPr>
        <w:t xml:space="preserve">A photomicrograph of peripheral lung specimen for corpse of 17 years old female died from mechanical cause showing normal architecture with alveoli lined with flattened epithelium </w:t>
      </w:r>
      <w:r w:rsidRPr="006116F3">
        <w:rPr>
          <w:rFonts w:asciiTheme="majorBidi" w:eastAsia="Calibri" w:hAnsiTheme="majorBidi" w:cstheme="majorBidi"/>
          <w:b/>
          <w:bCs/>
          <w:sz w:val="24"/>
          <w:szCs w:val="24"/>
        </w:rPr>
        <w:t>(arrow)</w:t>
      </w:r>
      <w:r w:rsidRPr="006116F3">
        <w:rPr>
          <w:rFonts w:asciiTheme="majorBidi" w:eastAsia="Calibri" w:hAnsiTheme="majorBidi" w:cstheme="majorBidi"/>
          <w:sz w:val="24"/>
          <w:szCs w:val="24"/>
        </w:rPr>
        <w:t xml:space="preserve">, normal bronchial artery </w:t>
      </w:r>
      <w:r w:rsidRPr="006116F3">
        <w:rPr>
          <w:rFonts w:asciiTheme="majorBidi" w:eastAsia="Calibri" w:hAnsiTheme="majorBidi" w:cstheme="majorBidi"/>
          <w:b/>
          <w:bCs/>
          <w:sz w:val="24"/>
          <w:szCs w:val="24"/>
        </w:rPr>
        <w:t>(A)</w:t>
      </w:r>
      <w:r w:rsidRPr="006116F3">
        <w:rPr>
          <w:rFonts w:asciiTheme="majorBidi" w:eastAsia="Calibri" w:hAnsiTheme="majorBidi" w:cstheme="majorBidi"/>
          <w:sz w:val="24"/>
          <w:szCs w:val="24"/>
        </w:rPr>
        <w:t xml:space="preserve"> and vein </w:t>
      </w:r>
      <w:r w:rsidRPr="006116F3">
        <w:rPr>
          <w:rFonts w:asciiTheme="majorBidi" w:eastAsia="Calibri" w:hAnsiTheme="majorBidi" w:cstheme="majorBidi"/>
          <w:b/>
          <w:bCs/>
          <w:sz w:val="24"/>
          <w:szCs w:val="24"/>
        </w:rPr>
        <w:t xml:space="preserve">(V) (H &amp; E x 200). (h): </w:t>
      </w:r>
      <w:r w:rsidRPr="006116F3">
        <w:rPr>
          <w:rFonts w:asciiTheme="majorBidi" w:eastAsia="Calibri" w:hAnsiTheme="majorBidi" w:cstheme="majorBidi"/>
          <w:sz w:val="24"/>
          <w:szCs w:val="24"/>
        </w:rPr>
        <w:t xml:space="preserve">A photomicrograph section in human lung prepared from Aluminum phosphide poisoning case showing marked </w:t>
      </w:r>
      <w:r w:rsidRPr="006116F3">
        <w:rPr>
          <w:rFonts w:asciiTheme="majorBidi" w:eastAsia="Calibri" w:hAnsiTheme="majorBidi" w:cstheme="majorBidi"/>
          <w:bCs/>
          <w:iCs/>
          <w:sz w:val="24"/>
          <w:szCs w:val="24"/>
        </w:rPr>
        <w:t xml:space="preserve">congestion and edema, thickening of alveoli by hemolyzed red cells </w:t>
      </w:r>
      <w:r w:rsidRPr="006116F3">
        <w:rPr>
          <w:rFonts w:asciiTheme="majorBidi" w:eastAsia="Calibri" w:hAnsiTheme="majorBidi" w:cstheme="majorBidi"/>
          <w:b/>
          <w:iCs/>
          <w:sz w:val="24"/>
          <w:szCs w:val="24"/>
        </w:rPr>
        <w:t>(arrow),</w:t>
      </w:r>
      <w:r w:rsidRPr="006116F3">
        <w:rPr>
          <w:rFonts w:asciiTheme="majorBidi" w:eastAsia="Calibri" w:hAnsiTheme="majorBidi" w:cstheme="majorBidi"/>
          <w:bCs/>
          <w:iCs/>
          <w:sz w:val="24"/>
          <w:szCs w:val="24"/>
        </w:rPr>
        <w:t xml:space="preserve"> intra-alveolar hemorrhage </w:t>
      </w:r>
      <w:r w:rsidRPr="006116F3">
        <w:rPr>
          <w:rFonts w:asciiTheme="majorBidi" w:eastAsia="Calibri" w:hAnsiTheme="majorBidi" w:cstheme="majorBidi"/>
          <w:b/>
          <w:iCs/>
          <w:sz w:val="24"/>
          <w:szCs w:val="24"/>
        </w:rPr>
        <w:t>(*)</w:t>
      </w:r>
      <w:r w:rsidRPr="006116F3">
        <w:rPr>
          <w:rFonts w:asciiTheme="majorBidi" w:eastAsia="Calibri" w:hAnsiTheme="majorBidi" w:cstheme="majorBidi"/>
          <w:bCs/>
          <w:iCs/>
          <w:sz w:val="24"/>
          <w:szCs w:val="24"/>
        </w:rPr>
        <w:t xml:space="preserve">, dilated capillaries </w:t>
      </w:r>
      <w:r w:rsidRPr="006116F3">
        <w:rPr>
          <w:rFonts w:asciiTheme="majorBidi" w:eastAsia="Calibri" w:hAnsiTheme="majorBidi" w:cstheme="majorBidi"/>
          <w:b/>
          <w:iCs/>
          <w:sz w:val="24"/>
          <w:szCs w:val="24"/>
        </w:rPr>
        <w:t>(C)</w:t>
      </w:r>
      <w:r w:rsidRPr="006116F3">
        <w:rPr>
          <w:rFonts w:asciiTheme="majorBidi" w:eastAsia="Calibri" w:hAnsiTheme="majorBidi" w:cstheme="majorBidi"/>
          <w:bCs/>
          <w:iCs/>
          <w:sz w:val="24"/>
          <w:szCs w:val="24"/>
        </w:rPr>
        <w:t xml:space="preserve"> and inflammatory cell infiltration around bronchioles </w:t>
      </w:r>
      <w:r w:rsidRPr="006116F3">
        <w:rPr>
          <w:rFonts w:asciiTheme="majorBidi" w:eastAsia="Calibri" w:hAnsiTheme="majorBidi" w:cstheme="majorBidi"/>
          <w:b/>
          <w:iCs/>
          <w:sz w:val="24"/>
          <w:szCs w:val="24"/>
        </w:rPr>
        <w:t>(O)</w:t>
      </w:r>
      <w:r w:rsidRPr="006116F3">
        <w:rPr>
          <w:rFonts w:asciiTheme="majorBidi" w:eastAsia="Calibri" w:hAnsiTheme="majorBidi" w:cstheme="majorBidi"/>
          <w:sz w:val="24"/>
          <w:szCs w:val="24"/>
        </w:rPr>
        <w:t xml:space="preserve"> </w:t>
      </w:r>
      <w:r w:rsidRPr="006116F3">
        <w:rPr>
          <w:rFonts w:asciiTheme="majorBidi" w:eastAsia="Calibri" w:hAnsiTheme="majorBidi" w:cstheme="majorBidi"/>
          <w:b/>
          <w:bCs/>
          <w:sz w:val="24"/>
          <w:szCs w:val="24"/>
        </w:rPr>
        <w:t>(H &amp; E x 200).</w:t>
      </w:r>
      <w:bookmarkEnd w:id="17"/>
    </w:p>
    <w:p w14:paraId="76D5BFDA" w14:textId="77777777" w:rsidR="006116F3" w:rsidRDefault="006116F3" w:rsidP="006116F3">
      <w:pPr>
        <w:bidi w:val="0"/>
        <w:rPr>
          <w:rFonts w:ascii="Times New Roman" w:eastAsia="Times New Roman" w:hAnsi="Times New Roman" w:cs="Times New Roman"/>
          <w:b/>
          <w:bCs/>
          <w:sz w:val="24"/>
          <w:szCs w:val="24"/>
          <w:lang w:bidi="ar-EG"/>
        </w:rPr>
      </w:pPr>
    </w:p>
    <w:p w14:paraId="3CABC384" w14:textId="095B7266" w:rsidR="006116F3" w:rsidRDefault="006116F3" w:rsidP="006116F3">
      <w:pPr>
        <w:bidi w:val="0"/>
        <w:jc w:val="center"/>
        <w:rPr>
          <w:rFonts w:ascii="Times New Roman" w:eastAsia="Times New Roman" w:hAnsi="Times New Roman" w:cs="Times New Roman"/>
          <w:b/>
          <w:bCs/>
          <w:sz w:val="24"/>
          <w:szCs w:val="24"/>
          <w:lang w:bidi="ar-EG"/>
        </w:rPr>
      </w:pPr>
      <w:r>
        <w:rPr>
          <w:noProof/>
        </w:rPr>
        <w:drawing>
          <wp:inline distT="0" distB="0" distL="0" distR="0" wp14:anchorId="4F28DD3C" wp14:editId="7151499E">
            <wp:extent cx="5838979" cy="29794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32" t="26641" r="35481" b="33739"/>
                    <a:stretch/>
                  </pic:blipFill>
                  <pic:spPr bwMode="auto">
                    <a:xfrm>
                      <a:off x="0" y="0"/>
                      <a:ext cx="5883043" cy="3001904"/>
                    </a:xfrm>
                    <a:prstGeom prst="rect">
                      <a:avLst/>
                    </a:prstGeom>
                    <a:ln>
                      <a:noFill/>
                    </a:ln>
                    <a:extLst>
                      <a:ext uri="{53640926-AAD7-44D8-BBD7-CCE9431645EC}">
                        <a14:shadowObscured xmlns:a14="http://schemas.microsoft.com/office/drawing/2010/main"/>
                      </a:ext>
                    </a:extLst>
                  </pic:spPr>
                </pic:pic>
              </a:graphicData>
            </a:graphic>
          </wp:inline>
        </w:drawing>
      </w:r>
    </w:p>
    <w:p w14:paraId="6196E565" w14:textId="568A8C44" w:rsidR="006116F3" w:rsidRPr="006116F3" w:rsidRDefault="006116F3" w:rsidP="006116F3">
      <w:pPr>
        <w:bidi w:val="0"/>
        <w:spacing w:after="0" w:line="240" w:lineRule="auto"/>
        <w:jc w:val="both"/>
        <w:rPr>
          <w:rFonts w:ascii="Times New Roman" w:eastAsia="Calibri" w:hAnsi="Times New Roman" w:cs="Times New Roman"/>
          <w:b/>
          <w:bCs/>
          <w:sz w:val="24"/>
          <w:szCs w:val="24"/>
        </w:rPr>
      </w:pPr>
      <w:r w:rsidRPr="006116F3">
        <w:rPr>
          <w:rFonts w:ascii="Times New Roman" w:eastAsia="Calibri" w:hAnsi="Times New Roman" w:cs="Times New Roman"/>
          <w:b/>
          <w:bCs/>
          <w:sz w:val="24"/>
          <w:szCs w:val="24"/>
        </w:rPr>
        <w:t xml:space="preserve">Fig. 2: (a): </w:t>
      </w:r>
      <w:r w:rsidRPr="006116F3">
        <w:rPr>
          <w:rFonts w:ascii="Times New Roman" w:eastAsia="Calibri" w:hAnsi="Times New Roman" w:cs="Times New Roman"/>
          <w:sz w:val="24"/>
          <w:szCs w:val="24"/>
        </w:rPr>
        <w:t xml:space="preserve">A photomicrograph of cardiac muscle specimen </w:t>
      </w:r>
      <w:bookmarkStart w:id="18" w:name="_Hlk111752031"/>
      <w:r w:rsidRPr="006116F3">
        <w:rPr>
          <w:rFonts w:ascii="Times New Roman" w:eastAsia="Calibri" w:hAnsi="Times New Roman" w:cs="Times New Roman"/>
          <w:sz w:val="24"/>
          <w:szCs w:val="24"/>
        </w:rPr>
        <w:t xml:space="preserve">for corpse female died from mechanical cause showing </w:t>
      </w:r>
      <w:bookmarkEnd w:id="18"/>
      <w:r w:rsidRPr="006116F3">
        <w:rPr>
          <w:rFonts w:ascii="Times New Roman" w:eastAsia="Calibri" w:hAnsi="Times New Roman" w:cs="Times New Roman"/>
          <w:sz w:val="24"/>
          <w:szCs w:val="24"/>
        </w:rPr>
        <w:t xml:space="preserve">normal architecture of well-arranged myocardial cells </w:t>
      </w:r>
      <w:r w:rsidRPr="006116F3">
        <w:rPr>
          <w:rFonts w:ascii="Times New Roman" w:eastAsia="Calibri" w:hAnsi="Times New Roman" w:cs="Times New Roman"/>
          <w:b/>
          <w:bCs/>
          <w:sz w:val="24"/>
          <w:szCs w:val="24"/>
        </w:rPr>
        <w:t>(arrow)</w:t>
      </w:r>
      <w:r w:rsidRPr="006116F3">
        <w:rPr>
          <w:rFonts w:ascii="Times New Roman" w:eastAsia="Calibri" w:hAnsi="Times New Roman" w:cs="Times New Roman"/>
          <w:sz w:val="24"/>
          <w:szCs w:val="24"/>
        </w:rPr>
        <w:t xml:space="preserve">, </w:t>
      </w:r>
      <w:r w:rsidRPr="006116F3">
        <w:rPr>
          <w:rFonts w:ascii="Times New Roman" w:eastAsia="Calibri" w:hAnsi="Times New Roman" w:cs="Times New Roman"/>
          <w:b/>
          <w:bCs/>
          <w:sz w:val="24"/>
          <w:szCs w:val="24"/>
        </w:rPr>
        <w:t xml:space="preserve">(H &amp; E x 400). (b): </w:t>
      </w:r>
      <w:r w:rsidRPr="006116F3">
        <w:rPr>
          <w:rFonts w:ascii="Times New Roman" w:eastAsia="Calibri" w:hAnsi="Times New Roman" w:cs="Times New Roman"/>
          <w:sz w:val="24"/>
          <w:szCs w:val="24"/>
        </w:rPr>
        <w:t xml:space="preserve">A photomicrograph section in human heart prepared from Aluminum phosphide poisoning case showing sever distortion of cardiac architecture, marked </w:t>
      </w:r>
      <w:r w:rsidRPr="006116F3">
        <w:rPr>
          <w:rFonts w:ascii="Times New Roman" w:eastAsia="Calibri" w:hAnsi="Times New Roman" w:cs="Times New Roman"/>
          <w:iCs/>
          <w:sz w:val="24"/>
          <w:szCs w:val="24"/>
        </w:rPr>
        <w:t xml:space="preserve">congestion and edema </w:t>
      </w:r>
      <w:r w:rsidRPr="006116F3">
        <w:rPr>
          <w:rFonts w:ascii="Times New Roman" w:eastAsia="Calibri" w:hAnsi="Times New Roman" w:cs="Times New Roman"/>
          <w:b/>
          <w:bCs/>
          <w:iCs/>
          <w:sz w:val="24"/>
          <w:szCs w:val="24"/>
        </w:rPr>
        <w:t>(arrow),</w:t>
      </w:r>
      <w:r w:rsidRPr="006116F3">
        <w:rPr>
          <w:rFonts w:ascii="Times New Roman" w:eastAsia="Calibri" w:hAnsi="Times New Roman" w:cs="Times New Roman"/>
          <w:iCs/>
          <w:sz w:val="24"/>
          <w:szCs w:val="24"/>
        </w:rPr>
        <w:t xml:space="preserve"> </w:t>
      </w:r>
      <w:r w:rsidRPr="006116F3">
        <w:rPr>
          <w:rFonts w:ascii="Times New Roman" w:eastAsia="Calibri" w:hAnsi="Times New Roman" w:cs="Times New Roman"/>
          <w:bCs/>
          <w:iCs/>
          <w:sz w:val="24"/>
          <w:szCs w:val="24"/>
        </w:rPr>
        <w:t xml:space="preserve">focal myocardial necrosis </w:t>
      </w:r>
      <w:r w:rsidRPr="006116F3">
        <w:rPr>
          <w:rFonts w:ascii="Times New Roman" w:eastAsia="Calibri" w:hAnsi="Times New Roman" w:cs="Times New Roman"/>
          <w:b/>
          <w:iCs/>
          <w:sz w:val="24"/>
          <w:szCs w:val="24"/>
        </w:rPr>
        <w:t>(O)</w:t>
      </w:r>
      <w:r w:rsidRPr="006116F3">
        <w:rPr>
          <w:rFonts w:ascii="Times New Roman" w:eastAsia="Calibri" w:hAnsi="Times New Roman" w:cs="Times New Roman"/>
          <w:bCs/>
          <w:iCs/>
          <w:sz w:val="24"/>
          <w:szCs w:val="24"/>
        </w:rPr>
        <w:t xml:space="preserve"> and inflammatory cell infiltration </w:t>
      </w:r>
      <w:r w:rsidRPr="006116F3">
        <w:rPr>
          <w:rFonts w:ascii="Times New Roman" w:eastAsia="Calibri" w:hAnsi="Times New Roman" w:cs="Times New Roman"/>
          <w:b/>
          <w:bCs/>
          <w:sz w:val="24"/>
          <w:szCs w:val="24"/>
        </w:rPr>
        <w:t>(H &amp; E x 400). (c)</w:t>
      </w:r>
      <w:r w:rsidRPr="006116F3">
        <w:rPr>
          <w:rFonts w:ascii="Times New Roman" w:eastAsia="Calibri" w:hAnsi="Times New Roman" w:cs="Times New Roman"/>
          <w:sz w:val="24"/>
          <w:szCs w:val="24"/>
        </w:rPr>
        <w:t xml:space="preserve"> A photomicrograph section in human’s liver for corpse of female died from mechanical cause showing normal architecture, normal diameter central veins </w:t>
      </w:r>
      <w:r w:rsidRPr="006116F3">
        <w:rPr>
          <w:rFonts w:ascii="Times New Roman" w:eastAsia="Calibri" w:hAnsi="Times New Roman" w:cs="Times New Roman"/>
          <w:b/>
          <w:bCs/>
          <w:sz w:val="24"/>
          <w:szCs w:val="24"/>
        </w:rPr>
        <w:t>(CV)</w:t>
      </w:r>
      <w:r w:rsidRPr="006116F3">
        <w:rPr>
          <w:rFonts w:ascii="Times New Roman" w:eastAsia="Calibri" w:hAnsi="Times New Roman" w:cs="Times New Roman"/>
          <w:sz w:val="24"/>
          <w:szCs w:val="24"/>
        </w:rPr>
        <w:t xml:space="preserve"> and sinusoids</w:t>
      </w:r>
      <w:r w:rsidRPr="006116F3">
        <w:rPr>
          <w:rFonts w:ascii="Times New Roman" w:eastAsia="Calibri" w:hAnsi="Times New Roman" w:cs="Times New Roman"/>
          <w:b/>
          <w:bCs/>
          <w:sz w:val="24"/>
          <w:szCs w:val="24"/>
        </w:rPr>
        <w:t xml:space="preserve"> (H &amp; E x 100). (d): </w:t>
      </w:r>
      <w:bookmarkStart w:id="19" w:name="_Hlk111072679"/>
      <w:r w:rsidRPr="006116F3">
        <w:rPr>
          <w:rFonts w:ascii="Times New Roman" w:eastAsia="Calibri" w:hAnsi="Times New Roman" w:cs="Times New Roman"/>
          <w:iCs/>
          <w:sz w:val="24"/>
          <w:szCs w:val="24"/>
        </w:rPr>
        <w:t xml:space="preserve">A photomicrograph section in human liver prepared from Aluminum phosphide poisoning case showing congestion </w:t>
      </w:r>
      <w:r w:rsidRPr="006116F3">
        <w:rPr>
          <w:rFonts w:ascii="Times New Roman" w:eastAsia="Calibri" w:hAnsi="Times New Roman" w:cs="Times New Roman"/>
          <w:b/>
          <w:bCs/>
          <w:iCs/>
          <w:sz w:val="24"/>
          <w:szCs w:val="24"/>
        </w:rPr>
        <w:t>(O)</w:t>
      </w:r>
      <w:r w:rsidRPr="006116F3">
        <w:rPr>
          <w:rFonts w:ascii="Times New Roman" w:eastAsia="Calibri" w:hAnsi="Times New Roman" w:cs="Times New Roman"/>
          <w:iCs/>
          <w:sz w:val="24"/>
          <w:szCs w:val="24"/>
        </w:rPr>
        <w:t xml:space="preserve">, mild fatty change </w:t>
      </w:r>
      <w:r w:rsidRPr="006116F3">
        <w:rPr>
          <w:rFonts w:ascii="Times New Roman" w:eastAsia="Calibri" w:hAnsi="Times New Roman" w:cs="Times New Roman"/>
          <w:b/>
          <w:bCs/>
          <w:iCs/>
          <w:sz w:val="24"/>
          <w:szCs w:val="24"/>
        </w:rPr>
        <w:t>(arrow)</w:t>
      </w:r>
      <w:r w:rsidRPr="006116F3">
        <w:rPr>
          <w:rFonts w:ascii="Times New Roman" w:eastAsia="Calibri" w:hAnsi="Times New Roman" w:cs="Times New Roman"/>
          <w:iCs/>
          <w:sz w:val="24"/>
          <w:szCs w:val="24"/>
        </w:rPr>
        <w:t xml:space="preserve"> and extensive necrosis </w:t>
      </w:r>
      <w:r w:rsidRPr="006116F3">
        <w:rPr>
          <w:rFonts w:ascii="Times New Roman" w:eastAsia="Calibri" w:hAnsi="Times New Roman" w:cs="Times New Roman"/>
          <w:b/>
          <w:bCs/>
          <w:iCs/>
          <w:sz w:val="24"/>
          <w:szCs w:val="24"/>
        </w:rPr>
        <w:t>(H &amp; E x 200).</w:t>
      </w:r>
      <w:bookmarkEnd w:id="19"/>
      <w:r w:rsidRPr="006116F3">
        <w:rPr>
          <w:rFonts w:ascii="Times New Roman" w:eastAsia="Calibri" w:hAnsi="Times New Roman" w:cs="Times New Roman"/>
          <w:b/>
          <w:bCs/>
          <w:iCs/>
          <w:sz w:val="24"/>
          <w:szCs w:val="24"/>
        </w:rPr>
        <w:t xml:space="preserve"> (e): </w:t>
      </w:r>
      <w:r w:rsidRPr="006116F3">
        <w:rPr>
          <w:rFonts w:ascii="Times New Roman" w:eastAsia="Calibri" w:hAnsi="Times New Roman" w:cs="Times New Roman"/>
          <w:sz w:val="24"/>
          <w:szCs w:val="24"/>
        </w:rPr>
        <w:t xml:space="preserve">A photomicrograph section in human’s spleen for corpse of male died from mechanical cause showing normal parenchyma reveals a large blood vessel in a trabeculum </w:t>
      </w:r>
      <w:r w:rsidRPr="006116F3">
        <w:rPr>
          <w:rFonts w:ascii="Times New Roman" w:eastAsia="Calibri" w:hAnsi="Times New Roman" w:cs="Times New Roman"/>
          <w:b/>
          <w:bCs/>
          <w:sz w:val="24"/>
          <w:szCs w:val="24"/>
        </w:rPr>
        <w:t>(arrow)</w:t>
      </w:r>
      <w:r w:rsidRPr="006116F3">
        <w:rPr>
          <w:rFonts w:ascii="Times New Roman" w:eastAsia="Calibri" w:hAnsi="Times New Roman" w:cs="Times New Roman"/>
          <w:sz w:val="24"/>
          <w:szCs w:val="24"/>
        </w:rPr>
        <w:t xml:space="preserve"> and white pulp, represented by nodular profiles with germinal centers </w:t>
      </w:r>
      <w:r w:rsidRPr="006116F3">
        <w:rPr>
          <w:rFonts w:ascii="Times New Roman" w:eastAsia="Calibri" w:hAnsi="Times New Roman" w:cs="Times New Roman"/>
          <w:b/>
          <w:bCs/>
          <w:sz w:val="24"/>
          <w:szCs w:val="24"/>
        </w:rPr>
        <w:t>(*)</w:t>
      </w:r>
      <w:r w:rsidRPr="006116F3">
        <w:rPr>
          <w:rFonts w:ascii="Times New Roman" w:eastAsia="Calibri" w:hAnsi="Times New Roman" w:cs="Times New Roman"/>
          <w:sz w:val="24"/>
          <w:szCs w:val="24"/>
        </w:rPr>
        <w:t xml:space="preserve"> </w:t>
      </w:r>
      <w:r w:rsidRPr="006116F3">
        <w:rPr>
          <w:rFonts w:ascii="Times New Roman" w:eastAsia="Calibri" w:hAnsi="Times New Roman" w:cs="Times New Roman"/>
          <w:b/>
          <w:bCs/>
          <w:sz w:val="24"/>
          <w:szCs w:val="24"/>
        </w:rPr>
        <w:t>(H &amp; E x 200).</w:t>
      </w:r>
      <w:r w:rsidRPr="006116F3">
        <w:rPr>
          <w:rFonts w:ascii="Times New Roman" w:eastAsia="Calibri" w:hAnsi="Times New Roman" w:cs="Times New Roman"/>
          <w:sz w:val="24"/>
          <w:szCs w:val="24"/>
          <w:lang w:bidi="ar-EG"/>
        </w:rPr>
        <w:t xml:space="preserve"> </w:t>
      </w:r>
      <w:r w:rsidRPr="006116F3">
        <w:rPr>
          <w:rFonts w:ascii="Times New Roman" w:eastAsia="Calibri" w:hAnsi="Times New Roman" w:cs="Times New Roman"/>
          <w:b/>
          <w:bCs/>
          <w:sz w:val="24"/>
          <w:szCs w:val="24"/>
          <w:lang w:bidi="ar-EG"/>
        </w:rPr>
        <w:t xml:space="preserve">(f): </w:t>
      </w:r>
      <w:bookmarkStart w:id="20" w:name="_Hlk111072726"/>
      <w:r w:rsidRPr="006116F3">
        <w:rPr>
          <w:rFonts w:ascii="Times New Roman" w:eastAsia="Calibri" w:hAnsi="Times New Roman" w:cs="Times New Roman"/>
          <w:iCs/>
          <w:sz w:val="24"/>
          <w:szCs w:val="24"/>
        </w:rPr>
        <w:t xml:space="preserve">A photomicrograph section in human spleen prepared from Aluminum phosphide poisoning case showing sever congestion, necrosis </w:t>
      </w:r>
      <w:r w:rsidRPr="006116F3">
        <w:rPr>
          <w:rFonts w:ascii="Times New Roman" w:eastAsia="Calibri" w:hAnsi="Times New Roman" w:cs="Times New Roman"/>
          <w:b/>
          <w:bCs/>
          <w:iCs/>
          <w:sz w:val="24"/>
          <w:szCs w:val="24"/>
        </w:rPr>
        <w:t>(arrow)</w:t>
      </w:r>
      <w:r w:rsidRPr="006116F3">
        <w:rPr>
          <w:rFonts w:ascii="Times New Roman" w:eastAsia="Calibri" w:hAnsi="Times New Roman" w:cs="Times New Roman"/>
          <w:iCs/>
          <w:sz w:val="24"/>
          <w:szCs w:val="24"/>
        </w:rPr>
        <w:t xml:space="preserve"> and</w:t>
      </w:r>
      <w:r w:rsidRPr="006116F3">
        <w:rPr>
          <w:rFonts w:ascii="Times New Roman" w:eastAsia="Calibri" w:hAnsi="Times New Roman" w:cs="Times New Roman"/>
          <w:bCs/>
          <w:iCs/>
          <w:sz w:val="24"/>
          <w:szCs w:val="24"/>
        </w:rPr>
        <w:t xml:space="preserve"> inflammatory cell infiltration </w:t>
      </w:r>
      <w:r w:rsidRPr="006116F3">
        <w:rPr>
          <w:rFonts w:ascii="Times New Roman" w:eastAsia="Calibri" w:hAnsi="Times New Roman" w:cs="Times New Roman"/>
          <w:b/>
          <w:iCs/>
          <w:sz w:val="24"/>
          <w:szCs w:val="24"/>
        </w:rPr>
        <w:t>(O)</w:t>
      </w:r>
      <w:r w:rsidRPr="006116F3">
        <w:rPr>
          <w:rFonts w:ascii="Times New Roman" w:eastAsia="Calibri" w:hAnsi="Times New Roman" w:cs="Times New Roman"/>
          <w:b/>
          <w:bCs/>
          <w:iCs/>
          <w:sz w:val="24"/>
          <w:szCs w:val="24"/>
        </w:rPr>
        <w:t xml:space="preserve"> (H &amp; E x 200).</w:t>
      </w:r>
      <w:bookmarkEnd w:id="20"/>
    </w:p>
    <w:p w14:paraId="3BD5FFE5" w14:textId="77777777" w:rsidR="006116F3" w:rsidRDefault="006116F3" w:rsidP="006116F3">
      <w:pPr>
        <w:bidi w:val="0"/>
        <w:jc w:val="center"/>
        <w:rPr>
          <w:rFonts w:ascii="Times New Roman" w:eastAsia="Times New Roman" w:hAnsi="Times New Roman" w:cs="Times New Roman"/>
          <w:b/>
          <w:bCs/>
          <w:sz w:val="24"/>
          <w:szCs w:val="24"/>
          <w:lang w:bidi="ar-EG"/>
        </w:rPr>
      </w:pPr>
    </w:p>
    <w:p w14:paraId="48B95FD2" w14:textId="247872BA" w:rsidR="006116F3" w:rsidRDefault="006116F3" w:rsidP="006116F3">
      <w:pPr>
        <w:bidi w:val="0"/>
        <w:jc w:val="center"/>
        <w:rPr>
          <w:rFonts w:ascii="Times New Roman" w:eastAsia="Times New Roman" w:hAnsi="Times New Roman" w:cs="Times New Roman"/>
          <w:b/>
          <w:bCs/>
          <w:sz w:val="24"/>
          <w:szCs w:val="24"/>
          <w:rtl/>
          <w:lang w:bidi="ar-EG"/>
        </w:rPr>
        <w:sectPr w:rsidR="006116F3" w:rsidSect="005B4E06">
          <w:headerReference w:type="first" r:id="rId15"/>
          <w:type w:val="continuous"/>
          <w:pgSz w:w="11906" w:h="16838"/>
          <w:pgMar w:top="1440" w:right="1080" w:bottom="1440" w:left="1080" w:header="708" w:footer="708" w:gutter="0"/>
          <w:cols w:space="708"/>
          <w:rtlGutter/>
          <w:docGrid w:linePitch="360"/>
        </w:sectPr>
      </w:pPr>
    </w:p>
    <w:p w14:paraId="20984539" w14:textId="0587BDF0" w:rsidR="00A9394D" w:rsidRPr="001456A5" w:rsidRDefault="00A9394D" w:rsidP="001456A5">
      <w:pPr>
        <w:bidi w:val="0"/>
        <w:spacing w:before="240" w:after="0" w:line="240" w:lineRule="auto"/>
        <w:contextualSpacing/>
        <w:jc w:val="center"/>
        <w:rPr>
          <w:rFonts w:ascii="Times New Roman" w:eastAsia="Times New Roman" w:hAnsi="Times New Roman" w:cs="Times New Roman"/>
          <w:b/>
          <w:bCs/>
          <w:sz w:val="28"/>
          <w:szCs w:val="28"/>
          <w:lang w:bidi="ar-EG"/>
        </w:rPr>
      </w:pPr>
      <w:r w:rsidRPr="001456A5">
        <w:rPr>
          <w:rFonts w:ascii="Times New Roman" w:eastAsia="Times New Roman" w:hAnsi="Times New Roman" w:cs="Times New Roman"/>
          <w:b/>
          <w:bCs/>
          <w:sz w:val="28"/>
          <w:szCs w:val="28"/>
          <w:lang w:bidi="ar-EG"/>
        </w:rPr>
        <w:t>DISCUSSION</w:t>
      </w:r>
    </w:p>
    <w:p w14:paraId="6B06C7D8" w14:textId="77777777" w:rsidR="00D36DE9" w:rsidRPr="00D36DE9" w:rsidRDefault="00D36DE9" w:rsidP="00D36DE9">
      <w:pPr>
        <w:autoSpaceDE w:val="0"/>
        <w:autoSpaceDN w:val="0"/>
        <w:bidi w:val="0"/>
        <w:adjustRightInd w:val="0"/>
        <w:spacing w:after="200" w:line="240" w:lineRule="auto"/>
        <w:ind w:firstLine="360"/>
        <w:jc w:val="both"/>
        <w:rPr>
          <w:rFonts w:ascii="Times New Roman" w:eastAsia="Times New Roman" w:hAnsi="Times New Roman" w:cs="Times New Roman"/>
          <w:i/>
          <w:iCs/>
          <w:sz w:val="24"/>
          <w:szCs w:val="24"/>
          <w:lang w:bidi="ar-EG"/>
        </w:rPr>
      </w:pPr>
      <w:r w:rsidRPr="00D36DE9">
        <w:rPr>
          <w:rFonts w:ascii="Times New Roman" w:eastAsia="Times New Roman" w:hAnsi="Times New Roman" w:cs="Times New Roman"/>
          <w:sz w:val="24"/>
          <w:szCs w:val="24"/>
          <w:lang w:bidi="ar-EG"/>
        </w:rPr>
        <w:t xml:space="preserve">Aluminum phosphide poisoning is a serious and frequent scourge in developing countries, where it became an epidemic state and constituting a healthcare problem and a real challenge for the medical profession </w:t>
      </w:r>
      <w:r w:rsidRPr="00D36DE9">
        <w:rPr>
          <w:rFonts w:ascii="Times New Roman" w:eastAsia="Times New Roman" w:hAnsi="Times New Roman" w:cs="Times New Roman"/>
          <w:b/>
          <w:bCs/>
          <w:i/>
          <w:iCs/>
          <w:sz w:val="24"/>
          <w:szCs w:val="24"/>
          <w:lang w:bidi="ar-EG"/>
        </w:rPr>
        <w:t xml:space="preserve">(Kenza Zniber et al., 2021). </w:t>
      </w:r>
    </w:p>
    <w:p w14:paraId="7E2D8CE5" w14:textId="11A6715B" w:rsidR="00D36DE9" w:rsidRPr="00D36DE9" w:rsidRDefault="00E16B02" w:rsidP="00D36DE9">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E16B02">
        <w:rPr>
          <w:rFonts w:ascii="Times New Roman" w:eastAsia="Times New Roman" w:hAnsi="Times New Roman" w:cs="Times New Roman"/>
          <w:sz w:val="24"/>
          <w:szCs w:val="24"/>
          <w:lang w:bidi="ar-EG"/>
        </w:rPr>
        <w:t xml:space="preserve">Poisoning from suicidal or unintentional intake of aluminum phosphide is a common medical problem encountered worldwide. Aluminum phosphide, when exposed to moisture, emits the </w:t>
      </w:r>
      <w:r>
        <w:rPr>
          <w:rFonts w:ascii="Times New Roman" w:eastAsia="Times New Roman" w:hAnsi="Times New Roman" w:cs="Times New Roman"/>
          <w:sz w:val="24"/>
          <w:szCs w:val="24"/>
          <w:lang w:bidi="ar-EG"/>
        </w:rPr>
        <w:t>highly toxic</w:t>
      </w:r>
      <w:r w:rsidRPr="00E16B02">
        <w:rPr>
          <w:rFonts w:ascii="Times New Roman" w:eastAsia="Times New Roman" w:hAnsi="Times New Roman" w:cs="Times New Roman"/>
          <w:sz w:val="24"/>
          <w:szCs w:val="24"/>
          <w:lang w:bidi="ar-EG"/>
        </w:rPr>
        <w:t xml:space="preserve"> gas, phosphine. Toxic symptoms of phosphine overdose usually appear quickly, sometimes within 15 minutes. The vast majority of deaths occur within the first 12/24 hours, mainly as a result of cardiac arrest. Deaths that occur after 24 hours are frequently caused by liver failure. </w:t>
      </w:r>
      <w:r w:rsidR="00D36DE9" w:rsidRPr="00D36DE9">
        <w:rPr>
          <w:rFonts w:ascii="Times New Roman" w:eastAsia="Times New Roman" w:hAnsi="Times New Roman" w:cs="Times New Roman"/>
          <w:b/>
          <w:bCs/>
          <w:i/>
          <w:iCs/>
          <w:sz w:val="24"/>
          <w:szCs w:val="24"/>
          <w:lang w:bidi="ar-EG"/>
        </w:rPr>
        <w:t>(Changal et al., 2017).</w:t>
      </w:r>
      <w:r w:rsidR="00D36DE9" w:rsidRPr="00D36DE9">
        <w:rPr>
          <w:rFonts w:ascii="Times New Roman" w:eastAsia="Times New Roman" w:hAnsi="Times New Roman" w:cs="Times New Roman"/>
          <w:sz w:val="24"/>
          <w:szCs w:val="24"/>
          <w:lang w:bidi="ar-EG"/>
        </w:rPr>
        <w:t xml:space="preserve"> </w:t>
      </w:r>
    </w:p>
    <w:p w14:paraId="34832EE5" w14:textId="6F50F112" w:rsidR="00D36DE9" w:rsidRPr="00D36DE9" w:rsidRDefault="00D36DE9" w:rsidP="00922155">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D36DE9">
        <w:rPr>
          <w:rFonts w:ascii="Times New Roman" w:eastAsia="Times New Roman" w:hAnsi="Times New Roman" w:cs="Times New Roman"/>
          <w:sz w:val="24"/>
          <w:szCs w:val="24"/>
          <w:lang w:bidi="ar-EG"/>
        </w:rPr>
        <w:t>The present work studied on medicolegal deaths of aluminum phosphide poisoning, aimed to assess autopsy findings of Aluminum phosphide poisoning</w:t>
      </w:r>
      <w:r w:rsidR="00922155">
        <w:rPr>
          <w:rFonts w:ascii="Times New Roman" w:eastAsia="Times New Roman" w:hAnsi="Times New Roman" w:cs="Times New Roman"/>
          <w:sz w:val="24"/>
          <w:szCs w:val="24"/>
          <w:lang w:bidi="ar-EG"/>
        </w:rPr>
        <w:t>.</w:t>
      </w:r>
    </w:p>
    <w:p w14:paraId="27AACADA" w14:textId="77777777" w:rsidR="00D36DE9" w:rsidRPr="00D36DE9" w:rsidRDefault="00D36DE9" w:rsidP="00D36DE9">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D36DE9">
        <w:rPr>
          <w:rFonts w:ascii="Times New Roman" w:eastAsia="Times New Roman" w:hAnsi="Times New Roman" w:cs="Times New Roman"/>
          <w:sz w:val="24"/>
          <w:szCs w:val="24"/>
          <w:lang w:bidi="ar-EG"/>
        </w:rPr>
        <w:t xml:space="preserve">Results of this study showed varying in age distribution of aluminum phosphide poisoning deaths from (15- 45) years </w:t>
      </w:r>
      <w:bookmarkStart w:id="21" w:name="_Hlk109709191"/>
      <w:r w:rsidRPr="00D36DE9">
        <w:rPr>
          <w:rFonts w:ascii="Times New Roman" w:eastAsia="Times New Roman" w:hAnsi="Times New Roman" w:cs="Times New Roman"/>
          <w:sz w:val="24"/>
          <w:szCs w:val="24"/>
          <w:lang w:bidi="ar-EG"/>
        </w:rPr>
        <w:t>with higher incidence in 2</w:t>
      </w:r>
      <w:r w:rsidRPr="00D36DE9">
        <w:rPr>
          <w:rFonts w:ascii="Times New Roman" w:eastAsia="Times New Roman" w:hAnsi="Times New Roman" w:cs="Times New Roman"/>
          <w:sz w:val="24"/>
          <w:szCs w:val="24"/>
          <w:vertAlign w:val="superscript"/>
          <w:lang w:bidi="ar-EG"/>
        </w:rPr>
        <w:t>nd</w:t>
      </w:r>
      <w:r w:rsidRPr="00D36DE9">
        <w:rPr>
          <w:rFonts w:ascii="Times New Roman" w:eastAsia="Times New Roman" w:hAnsi="Times New Roman" w:cs="Times New Roman"/>
          <w:sz w:val="24"/>
          <w:szCs w:val="24"/>
          <w:lang w:bidi="ar-EG"/>
        </w:rPr>
        <w:t xml:space="preserve"> &amp; 3</w:t>
      </w:r>
      <w:r w:rsidRPr="00D36DE9">
        <w:rPr>
          <w:rFonts w:ascii="Times New Roman" w:eastAsia="Times New Roman" w:hAnsi="Times New Roman" w:cs="Times New Roman"/>
          <w:sz w:val="24"/>
          <w:szCs w:val="24"/>
          <w:vertAlign w:val="superscript"/>
          <w:lang w:bidi="ar-EG"/>
        </w:rPr>
        <w:t>rd</w:t>
      </w:r>
      <w:r w:rsidRPr="00D36DE9">
        <w:rPr>
          <w:rFonts w:ascii="Times New Roman" w:eastAsia="Times New Roman" w:hAnsi="Times New Roman" w:cs="Times New Roman"/>
          <w:sz w:val="24"/>
          <w:szCs w:val="24"/>
          <w:lang w:bidi="ar-EG"/>
        </w:rPr>
        <w:t xml:space="preserve"> decade and rare incidence in the extremes of age.</w:t>
      </w:r>
      <w:bookmarkEnd w:id="21"/>
    </w:p>
    <w:p w14:paraId="178B9CE1" w14:textId="7EB0D3E4" w:rsidR="00E16B02" w:rsidRDefault="00E16B02" w:rsidP="00562076">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E16B02">
        <w:rPr>
          <w:rFonts w:ascii="Times New Roman" w:eastAsia="Times New Roman" w:hAnsi="Times New Roman" w:cs="Times New Roman"/>
          <w:sz w:val="24"/>
          <w:szCs w:val="24"/>
          <w:lang w:bidi="ar-EG"/>
        </w:rPr>
        <w:t xml:space="preserve">These findings are consistent with the findings of </w:t>
      </w:r>
      <w:r w:rsidR="00562076" w:rsidRPr="00562076">
        <w:rPr>
          <w:rFonts w:ascii="Times New Roman" w:eastAsia="Times New Roman" w:hAnsi="Times New Roman" w:cs="Times New Roman"/>
          <w:b/>
          <w:bCs/>
          <w:i/>
          <w:iCs/>
          <w:sz w:val="24"/>
          <w:szCs w:val="24"/>
          <w:lang w:bidi="ar-EG"/>
        </w:rPr>
        <w:t xml:space="preserve">Mathai and Bhanu (2010) </w:t>
      </w:r>
      <w:r w:rsidRPr="00E16B02">
        <w:rPr>
          <w:rFonts w:ascii="Times New Roman" w:eastAsia="Times New Roman" w:hAnsi="Times New Roman" w:cs="Times New Roman"/>
          <w:sz w:val="24"/>
          <w:szCs w:val="24"/>
          <w:lang w:bidi="ar-EG"/>
        </w:rPr>
        <w:t>who observed that the majority of poisoned cases were young, ranging in age from 21 to 40 years.</w:t>
      </w:r>
    </w:p>
    <w:p w14:paraId="3B4C5906" w14:textId="5BA6C1C2" w:rsidR="00DF514E" w:rsidRDefault="00D36DE9" w:rsidP="00562076">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D36DE9">
        <w:rPr>
          <w:rFonts w:ascii="Times New Roman" w:eastAsia="Times New Roman" w:hAnsi="Times New Roman" w:cs="Times New Roman"/>
          <w:sz w:val="24"/>
          <w:szCs w:val="24"/>
          <w:lang w:bidi="ar-EG"/>
        </w:rPr>
        <w:t>Also,</w:t>
      </w:r>
      <w:r w:rsidRPr="00D36DE9">
        <w:rPr>
          <w:rFonts w:ascii="Times New Roman" w:eastAsia="Times New Roman" w:hAnsi="Times New Roman" w:cs="Times New Roman"/>
          <w:i/>
          <w:iCs/>
          <w:sz w:val="24"/>
          <w:szCs w:val="24"/>
          <w:lang w:bidi="ar-EG"/>
        </w:rPr>
        <w:t xml:space="preserve"> </w:t>
      </w:r>
      <w:r w:rsidR="00562076" w:rsidRPr="00562076">
        <w:rPr>
          <w:rFonts w:ascii="Times New Roman" w:eastAsia="Times New Roman" w:hAnsi="Times New Roman" w:cs="Times New Roman"/>
          <w:b/>
          <w:bCs/>
          <w:i/>
          <w:iCs/>
          <w:sz w:val="24"/>
          <w:szCs w:val="24"/>
          <w:lang w:bidi="ar-EG"/>
        </w:rPr>
        <w:t>Shaheen et al. (2018) study</w:t>
      </w:r>
      <w:r w:rsidRPr="00D36DE9">
        <w:rPr>
          <w:rFonts w:ascii="Times New Roman" w:eastAsia="Times New Roman" w:hAnsi="Times New Roman" w:cs="Times New Roman"/>
          <w:b/>
          <w:bCs/>
          <w:i/>
          <w:iCs/>
          <w:sz w:val="24"/>
          <w:szCs w:val="24"/>
          <w:lang w:bidi="ar-EG"/>
        </w:rPr>
        <w:t xml:space="preserve">, </w:t>
      </w:r>
      <w:r w:rsidRPr="00D36DE9">
        <w:rPr>
          <w:rFonts w:ascii="Times New Roman" w:eastAsia="Times New Roman" w:hAnsi="Times New Roman" w:cs="Times New Roman"/>
          <w:sz w:val="24"/>
          <w:szCs w:val="24"/>
          <w:lang w:bidi="ar-EG"/>
        </w:rPr>
        <w:t>which</w:t>
      </w:r>
      <w:r w:rsidRPr="00D36DE9">
        <w:rPr>
          <w:rFonts w:ascii="Times New Roman" w:eastAsia="Times New Roman" w:hAnsi="Times New Roman" w:cs="Times New Roman"/>
          <w:b/>
          <w:bCs/>
          <w:i/>
          <w:iCs/>
          <w:sz w:val="24"/>
          <w:szCs w:val="24"/>
          <w:lang w:bidi="ar-EG"/>
        </w:rPr>
        <w:t xml:space="preserve"> </w:t>
      </w:r>
      <w:r w:rsidRPr="00D36DE9">
        <w:rPr>
          <w:rFonts w:ascii="Times New Roman" w:eastAsia="Times New Roman" w:hAnsi="Times New Roman" w:cs="Times New Roman"/>
          <w:sz w:val="24"/>
          <w:szCs w:val="24"/>
          <w:lang w:bidi="ar-EG"/>
        </w:rPr>
        <w:t xml:space="preserve">was in agreement with the current work, explained these observations by those younger persons are easily excited. </w:t>
      </w:r>
      <w:r w:rsidR="00DF514E" w:rsidRPr="00DF514E">
        <w:rPr>
          <w:rFonts w:ascii="Times New Roman" w:eastAsia="Times New Roman" w:hAnsi="Times New Roman" w:cs="Times New Roman"/>
          <w:sz w:val="24"/>
          <w:szCs w:val="24"/>
          <w:lang w:bidi="ar-EG"/>
        </w:rPr>
        <w:t>On the other side, as individuals get older, they take more mature steps.</w:t>
      </w:r>
    </w:p>
    <w:p w14:paraId="25AD24BD" w14:textId="5BA3F073" w:rsidR="00D36DE9" w:rsidRPr="00D36DE9" w:rsidRDefault="00D36DE9" w:rsidP="00DF514E">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D36DE9">
        <w:rPr>
          <w:rFonts w:ascii="Times New Roman" w:eastAsia="Times New Roman" w:hAnsi="Times New Roman" w:cs="Times New Roman"/>
          <w:sz w:val="24"/>
          <w:szCs w:val="24"/>
          <w:lang w:bidi="ar-EG"/>
        </w:rPr>
        <w:t xml:space="preserve">During the current study, </w:t>
      </w:r>
      <w:r w:rsidRPr="00D36DE9">
        <w:rPr>
          <w:rFonts w:ascii="Times New Roman" w:eastAsia="Times New Roman" w:hAnsi="Times New Roman" w:cs="Times New Roman"/>
          <w:iCs/>
          <w:sz w:val="24"/>
          <w:szCs w:val="24"/>
          <w:lang w:bidi="ar-EG"/>
        </w:rPr>
        <w:t>neither homicidal nor accidental case was noted, 100% of the cases were recorded as suicidal incidence.</w:t>
      </w:r>
    </w:p>
    <w:p w14:paraId="6BE8BA8E" w14:textId="77E7E705" w:rsidR="004930A3" w:rsidRDefault="00D36DE9" w:rsidP="00562076">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D36DE9">
        <w:rPr>
          <w:rFonts w:ascii="Times New Roman" w:eastAsia="Times New Roman" w:hAnsi="Times New Roman" w:cs="Times New Roman"/>
          <w:iCs/>
          <w:sz w:val="24"/>
          <w:szCs w:val="24"/>
          <w:lang w:bidi="ar-EG"/>
        </w:rPr>
        <w:t xml:space="preserve">In agreement with these results, </w:t>
      </w:r>
      <w:bookmarkStart w:id="22" w:name="_Hlk114016410"/>
      <w:r w:rsidR="00562076" w:rsidRPr="00562076">
        <w:rPr>
          <w:rFonts w:ascii="Times New Roman" w:eastAsia="Times New Roman" w:hAnsi="Times New Roman" w:cs="Times New Roman"/>
          <w:b/>
          <w:bCs/>
          <w:i/>
          <w:sz w:val="24"/>
          <w:szCs w:val="24"/>
          <w:lang w:bidi="ar-EG"/>
        </w:rPr>
        <w:t xml:space="preserve">Mwaheb and Hassan </w:t>
      </w:r>
      <w:bookmarkEnd w:id="22"/>
      <w:r w:rsidR="00562076" w:rsidRPr="00562076">
        <w:rPr>
          <w:rFonts w:ascii="Times New Roman" w:eastAsia="Times New Roman" w:hAnsi="Times New Roman" w:cs="Times New Roman"/>
          <w:b/>
          <w:bCs/>
          <w:i/>
          <w:sz w:val="24"/>
          <w:szCs w:val="24"/>
          <w:lang w:bidi="ar-EG"/>
        </w:rPr>
        <w:t>(2020),</w:t>
      </w:r>
      <w:r w:rsidR="00562076">
        <w:rPr>
          <w:rFonts w:ascii="Times New Roman" w:eastAsia="Times New Roman" w:hAnsi="Times New Roman" w:cs="Times New Roman"/>
          <w:b/>
          <w:bCs/>
          <w:i/>
          <w:sz w:val="24"/>
          <w:szCs w:val="24"/>
          <w:lang w:bidi="ar-EG"/>
        </w:rPr>
        <w:t xml:space="preserve"> </w:t>
      </w:r>
      <w:r w:rsidRPr="00D36DE9">
        <w:rPr>
          <w:rFonts w:ascii="Times New Roman" w:eastAsia="Times New Roman" w:hAnsi="Times New Roman" w:cs="Times New Roman"/>
          <w:iCs/>
          <w:sz w:val="24"/>
          <w:szCs w:val="24"/>
          <w:lang w:bidi="ar-EG"/>
        </w:rPr>
        <w:t xml:space="preserve">found that all deaths in their studies were (100%) suicidal attempts in Egypt. </w:t>
      </w:r>
      <w:r w:rsidR="004930A3" w:rsidRPr="004930A3">
        <w:rPr>
          <w:rFonts w:ascii="Times New Roman" w:eastAsia="Times New Roman" w:hAnsi="Times New Roman" w:cs="Times New Roman"/>
          <w:iCs/>
          <w:sz w:val="24"/>
          <w:szCs w:val="24"/>
          <w:lang w:bidi="ar-EG"/>
        </w:rPr>
        <w:t xml:space="preserve">They stated that due to its accessibility, </w:t>
      </w:r>
      <w:r w:rsidR="004930A3">
        <w:rPr>
          <w:rFonts w:ascii="Times New Roman" w:eastAsia="Times New Roman" w:hAnsi="Times New Roman" w:cs="Times New Roman"/>
          <w:iCs/>
          <w:sz w:val="24"/>
          <w:szCs w:val="24"/>
          <w:lang w:bidi="ar-EG"/>
        </w:rPr>
        <w:t xml:space="preserve">its higher toxicity </w:t>
      </w:r>
      <w:r w:rsidR="004930A3" w:rsidRPr="004930A3">
        <w:rPr>
          <w:rFonts w:ascii="Times New Roman" w:eastAsia="Times New Roman" w:hAnsi="Times New Roman" w:cs="Times New Roman"/>
          <w:iCs/>
          <w:sz w:val="24"/>
          <w:szCs w:val="24"/>
          <w:lang w:bidi="ar-EG"/>
        </w:rPr>
        <w:t>to humans and our social problems.</w:t>
      </w:r>
    </w:p>
    <w:p w14:paraId="5902CD1A" w14:textId="09369A00" w:rsidR="00D36DE9" w:rsidRPr="00D36DE9" w:rsidRDefault="00782127" w:rsidP="004930A3">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782127">
        <w:rPr>
          <w:rFonts w:ascii="Times New Roman" w:eastAsia="Times New Roman" w:hAnsi="Times New Roman" w:cs="Times New Roman"/>
          <w:iCs/>
          <w:sz w:val="24"/>
          <w:szCs w:val="24"/>
          <w:lang w:bidi="ar-EG"/>
        </w:rPr>
        <w:t xml:space="preserve">Furthermore, </w:t>
      </w:r>
      <w:r w:rsidRPr="00782127">
        <w:rPr>
          <w:rFonts w:ascii="Times New Roman" w:eastAsia="Times New Roman" w:hAnsi="Times New Roman" w:cs="Times New Roman"/>
          <w:b/>
          <w:bCs/>
          <w:i/>
          <w:sz w:val="24"/>
          <w:szCs w:val="24"/>
          <w:lang w:bidi="ar-EG"/>
        </w:rPr>
        <w:t>Meena et al. (2015)</w:t>
      </w:r>
      <w:r w:rsidRPr="00782127">
        <w:rPr>
          <w:rFonts w:ascii="Times New Roman" w:eastAsia="Times New Roman" w:hAnsi="Times New Roman" w:cs="Times New Roman"/>
          <w:iCs/>
          <w:sz w:val="24"/>
          <w:szCs w:val="24"/>
          <w:lang w:bidi="ar-EG"/>
        </w:rPr>
        <w:t xml:space="preserve"> revealed that suicide was the most common cause of death from aluminum phosphide poisoning (94%), followed by accident (5%), and homicide (1%).</w:t>
      </w:r>
    </w:p>
    <w:p w14:paraId="6B7CDA31" w14:textId="77777777" w:rsidR="00782127" w:rsidRDefault="00782127" w:rsidP="00D36DE9">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782127">
        <w:rPr>
          <w:rFonts w:ascii="Times New Roman" w:eastAsia="Times New Roman" w:hAnsi="Times New Roman" w:cs="Times New Roman"/>
          <w:iCs/>
          <w:sz w:val="24"/>
          <w:szCs w:val="24"/>
          <w:lang w:bidi="ar-EG"/>
        </w:rPr>
        <w:t xml:space="preserve">In contrast, </w:t>
      </w:r>
      <w:r w:rsidRPr="00782127">
        <w:rPr>
          <w:rFonts w:ascii="Times New Roman" w:eastAsia="Times New Roman" w:hAnsi="Times New Roman" w:cs="Times New Roman"/>
          <w:b/>
          <w:bCs/>
          <w:i/>
          <w:sz w:val="24"/>
          <w:szCs w:val="24"/>
          <w:lang w:bidi="ar-EG"/>
        </w:rPr>
        <w:t>Gunnell D et al. (2007)</w:t>
      </w:r>
      <w:r w:rsidRPr="00782127">
        <w:rPr>
          <w:rFonts w:ascii="Times New Roman" w:eastAsia="Times New Roman" w:hAnsi="Times New Roman" w:cs="Times New Roman"/>
          <w:iCs/>
          <w:sz w:val="24"/>
          <w:szCs w:val="24"/>
          <w:lang w:bidi="ar-EG"/>
        </w:rPr>
        <w:t xml:space="preserve"> found that each year, 4% of pesticide self-poisoning deaths occur in the European region, 50% in the Western Pacific region, 33% in Africa, and 0.07% in North America.</w:t>
      </w:r>
    </w:p>
    <w:p w14:paraId="584BE990" w14:textId="0967BAFB" w:rsidR="00D36DE9" w:rsidRPr="00D36DE9" w:rsidRDefault="00D36DE9" w:rsidP="00782127">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D36DE9">
        <w:rPr>
          <w:rFonts w:ascii="Times New Roman" w:eastAsia="Times New Roman" w:hAnsi="Times New Roman" w:cs="Times New Roman"/>
          <w:iCs/>
          <w:sz w:val="24"/>
          <w:szCs w:val="24"/>
          <w:lang w:bidi="ar-EG"/>
        </w:rPr>
        <w:t>This Contrast in the results may be due to the difference between different global regions, especially between developed and developing countries, in the culture, social life and problems.</w:t>
      </w:r>
    </w:p>
    <w:p w14:paraId="6921B90E" w14:textId="147C9073" w:rsidR="00952A13" w:rsidRDefault="00D36DE9" w:rsidP="00952A13">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D36DE9">
        <w:rPr>
          <w:rFonts w:ascii="Times New Roman" w:eastAsia="Times New Roman" w:hAnsi="Times New Roman" w:cs="Times New Roman"/>
          <w:iCs/>
          <w:sz w:val="24"/>
          <w:szCs w:val="24"/>
          <w:lang w:bidi="ar-EG"/>
        </w:rPr>
        <w:t xml:space="preserve">The current study showed distinct bluish discoloration of the face of 2 cases (20%) during the external examination. Also, Froth was present around the nostrils in one case which was blood tinged. </w:t>
      </w:r>
      <w:bookmarkStart w:id="23" w:name="_Hlk109877477"/>
      <w:r w:rsidR="00952A13" w:rsidRPr="00952A13">
        <w:rPr>
          <w:rFonts w:ascii="Times New Roman" w:eastAsia="Times New Roman" w:hAnsi="Times New Roman" w:cs="Times New Roman"/>
          <w:iCs/>
          <w:sz w:val="24"/>
          <w:szCs w:val="24"/>
          <w:lang w:bidi="ar-EG"/>
        </w:rPr>
        <w:t>Furthermore, a characteristic garlicky odor related to Aluminum phosphide poisoning was present near to the body in four (40% of the cases).</w:t>
      </w:r>
    </w:p>
    <w:bookmarkEnd w:id="23"/>
    <w:p w14:paraId="4DE36F55" w14:textId="77777777" w:rsidR="000E04FA" w:rsidRPr="000E04FA" w:rsidRDefault="00562076" w:rsidP="000E04FA">
      <w:pPr>
        <w:autoSpaceDE w:val="0"/>
        <w:autoSpaceDN w:val="0"/>
        <w:bidi w:val="0"/>
        <w:adjustRightInd w:val="0"/>
        <w:spacing w:after="200" w:line="240" w:lineRule="auto"/>
        <w:jc w:val="both"/>
        <w:rPr>
          <w:rFonts w:ascii="Times New Roman" w:eastAsia="Times New Roman" w:hAnsi="Times New Roman" w:cs="Times New Roman"/>
          <w:iCs/>
          <w:sz w:val="24"/>
          <w:szCs w:val="24"/>
          <w:lang w:bidi="ar-EG"/>
        </w:rPr>
      </w:pPr>
      <w:r w:rsidRPr="00562076">
        <w:rPr>
          <w:rFonts w:ascii="Times New Roman" w:eastAsia="Times New Roman" w:hAnsi="Times New Roman" w:cs="Times New Roman"/>
          <w:b/>
          <w:bCs/>
          <w:i/>
          <w:iCs/>
          <w:sz w:val="24"/>
          <w:szCs w:val="24"/>
          <w:lang w:bidi="ar-EG"/>
        </w:rPr>
        <w:t xml:space="preserve">Shaheen et al. (2018) and </w:t>
      </w:r>
      <w:bookmarkStart w:id="24" w:name="_Hlk114016431"/>
      <w:bookmarkStart w:id="25" w:name="_Hlk114015516"/>
      <w:r w:rsidRPr="00562076">
        <w:rPr>
          <w:rFonts w:ascii="Times New Roman" w:eastAsia="Times New Roman" w:hAnsi="Times New Roman" w:cs="Times New Roman"/>
          <w:b/>
          <w:bCs/>
          <w:i/>
          <w:iCs/>
          <w:sz w:val="24"/>
          <w:szCs w:val="24"/>
          <w:lang w:bidi="ar-EG"/>
        </w:rPr>
        <w:t>Jain</w:t>
      </w:r>
      <w:bookmarkEnd w:id="24"/>
      <w:r w:rsidRPr="00562076">
        <w:rPr>
          <w:rFonts w:ascii="Times New Roman" w:eastAsia="Times New Roman" w:hAnsi="Times New Roman" w:cs="Times New Roman"/>
          <w:b/>
          <w:bCs/>
          <w:i/>
          <w:iCs/>
          <w:sz w:val="24"/>
          <w:szCs w:val="24"/>
          <w:lang w:bidi="ar-EG"/>
        </w:rPr>
        <w:t xml:space="preserve"> et al. (2005) </w:t>
      </w:r>
      <w:bookmarkEnd w:id="25"/>
      <w:r w:rsidR="000E04FA" w:rsidRPr="000E04FA">
        <w:rPr>
          <w:rFonts w:ascii="Times New Roman" w:eastAsia="Times New Roman" w:hAnsi="Times New Roman" w:cs="Times New Roman"/>
          <w:iCs/>
          <w:sz w:val="24"/>
          <w:szCs w:val="24"/>
          <w:lang w:bidi="ar-EG"/>
        </w:rPr>
        <w:t>coincided with the current observations</w:t>
      </w:r>
      <w:r w:rsidR="000E04FA" w:rsidRPr="000E04FA">
        <w:rPr>
          <w:rFonts w:ascii="Times New Roman" w:eastAsia="Times New Roman" w:hAnsi="Times New Roman" w:cs="Times New Roman"/>
          <w:sz w:val="24"/>
          <w:szCs w:val="24"/>
          <w:lang w:bidi="ar-EG"/>
        </w:rPr>
        <w:t xml:space="preserve"> </w:t>
      </w:r>
      <w:r w:rsidR="000E04FA" w:rsidRPr="000E04FA">
        <w:rPr>
          <w:rFonts w:ascii="Times New Roman" w:eastAsia="Times New Roman" w:hAnsi="Times New Roman" w:cs="Times New Roman"/>
          <w:iCs/>
          <w:sz w:val="24"/>
          <w:szCs w:val="24"/>
          <w:lang w:bidi="ar-EG"/>
        </w:rPr>
        <w:t xml:space="preserve">and reported that Gross examination during postmortem revealed the following: </w:t>
      </w:r>
    </w:p>
    <w:p w14:paraId="13FCF169" w14:textId="341A1C62" w:rsidR="00D36DE9" w:rsidRPr="000E04FA" w:rsidRDefault="00D36DE9" w:rsidP="000E04FA">
      <w:pPr>
        <w:pStyle w:val="ListParagraph"/>
        <w:numPr>
          <w:ilvl w:val="0"/>
          <w:numId w:val="23"/>
        </w:numPr>
        <w:autoSpaceDE w:val="0"/>
        <w:autoSpaceDN w:val="0"/>
        <w:bidi w:val="0"/>
        <w:adjustRightInd w:val="0"/>
        <w:spacing w:after="200" w:line="240" w:lineRule="auto"/>
        <w:jc w:val="both"/>
        <w:rPr>
          <w:rFonts w:ascii="Times New Roman" w:eastAsia="Times New Roman" w:hAnsi="Times New Roman" w:cs="Times New Roman"/>
          <w:iCs/>
          <w:sz w:val="24"/>
          <w:szCs w:val="24"/>
          <w:lang w:bidi="ar-EG"/>
        </w:rPr>
      </w:pPr>
      <w:r w:rsidRPr="000E04FA">
        <w:rPr>
          <w:rFonts w:ascii="Times New Roman" w:eastAsia="Times New Roman" w:hAnsi="Times New Roman" w:cs="Times New Roman"/>
          <w:iCs/>
          <w:sz w:val="24"/>
          <w:szCs w:val="24"/>
          <w:lang w:bidi="ar-EG"/>
        </w:rPr>
        <w:t xml:space="preserve">Face was cyanosed and congested in 22% &amp; 41.17% cases respectively. </w:t>
      </w:r>
    </w:p>
    <w:p w14:paraId="69C61173" w14:textId="197B9350" w:rsidR="00D36DE9" w:rsidRPr="00D36DE9" w:rsidRDefault="00D36DE9" w:rsidP="00D36DE9">
      <w:pPr>
        <w:numPr>
          <w:ilvl w:val="0"/>
          <w:numId w:val="23"/>
        </w:numPr>
        <w:autoSpaceDE w:val="0"/>
        <w:autoSpaceDN w:val="0"/>
        <w:bidi w:val="0"/>
        <w:adjustRightInd w:val="0"/>
        <w:spacing w:after="200" w:line="240" w:lineRule="auto"/>
        <w:jc w:val="both"/>
        <w:rPr>
          <w:rFonts w:ascii="Times New Roman" w:eastAsia="Times New Roman" w:hAnsi="Times New Roman" w:cs="Times New Roman"/>
          <w:iCs/>
          <w:sz w:val="24"/>
          <w:szCs w:val="24"/>
          <w:lang w:bidi="ar-EG"/>
        </w:rPr>
      </w:pPr>
      <w:r w:rsidRPr="00D36DE9">
        <w:rPr>
          <w:rFonts w:ascii="Times New Roman" w:eastAsia="Times New Roman" w:hAnsi="Times New Roman" w:cs="Times New Roman"/>
          <w:iCs/>
          <w:sz w:val="24"/>
          <w:szCs w:val="24"/>
          <w:lang w:bidi="ar-EG"/>
        </w:rPr>
        <w:t xml:space="preserve">Garlic pungent smell was observed in 50% &amp; 47.05% cases. </w:t>
      </w:r>
    </w:p>
    <w:p w14:paraId="6E984D7A" w14:textId="77777777" w:rsidR="00D36DE9" w:rsidRPr="00D36DE9" w:rsidRDefault="00D36DE9" w:rsidP="00D36DE9">
      <w:pPr>
        <w:numPr>
          <w:ilvl w:val="0"/>
          <w:numId w:val="23"/>
        </w:numPr>
        <w:autoSpaceDE w:val="0"/>
        <w:autoSpaceDN w:val="0"/>
        <w:bidi w:val="0"/>
        <w:adjustRightInd w:val="0"/>
        <w:spacing w:after="200" w:line="240" w:lineRule="auto"/>
        <w:jc w:val="both"/>
        <w:rPr>
          <w:rFonts w:ascii="Times New Roman" w:eastAsia="Times New Roman" w:hAnsi="Times New Roman" w:cs="Times New Roman"/>
          <w:iCs/>
          <w:sz w:val="24"/>
          <w:szCs w:val="24"/>
          <w:lang w:bidi="ar-EG"/>
        </w:rPr>
      </w:pPr>
      <w:r w:rsidRPr="00D36DE9">
        <w:rPr>
          <w:rFonts w:ascii="Times New Roman" w:eastAsia="Times New Roman" w:hAnsi="Times New Roman" w:cs="Times New Roman"/>
          <w:iCs/>
          <w:sz w:val="24"/>
          <w:szCs w:val="24"/>
          <w:lang w:bidi="ar-EG"/>
        </w:rPr>
        <w:t>Froth at and around mouth and nostrils was observed in 12% &amp; 76.47% while blood-tinged froth was observed in 68% &amp; 64.70% respectively.</w:t>
      </w:r>
    </w:p>
    <w:p w14:paraId="63E14651" w14:textId="3B9CCBEF" w:rsidR="00D36DE9" w:rsidRPr="00D36DE9" w:rsidRDefault="00127DA3" w:rsidP="000E04FA">
      <w:pPr>
        <w:autoSpaceDE w:val="0"/>
        <w:autoSpaceDN w:val="0"/>
        <w:bidi w:val="0"/>
        <w:adjustRightInd w:val="0"/>
        <w:spacing w:after="200" w:line="240" w:lineRule="auto"/>
        <w:ind w:firstLine="360"/>
        <w:jc w:val="both"/>
        <w:rPr>
          <w:rFonts w:ascii="Times New Roman" w:eastAsia="Times New Roman" w:hAnsi="Times New Roman" w:cs="Times New Roman"/>
          <w:b/>
          <w:bCs/>
          <w:i/>
          <w:iCs/>
          <w:sz w:val="24"/>
          <w:szCs w:val="24"/>
          <w:lang w:bidi="ar-EG"/>
        </w:rPr>
      </w:pPr>
      <w:r w:rsidRPr="00127DA3">
        <w:rPr>
          <w:rFonts w:ascii="Times New Roman" w:eastAsia="Times New Roman" w:hAnsi="Times New Roman" w:cs="Times New Roman"/>
          <w:iCs/>
          <w:sz w:val="24"/>
          <w:szCs w:val="24"/>
          <w:lang w:bidi="ar-EG"/>
        </w:rPr>
        <w:t xml:space="preserve">In the current study, internal examination revealed that the trachea was congested in all cases (100%) and froth was detected in four cases (40%). Lungs were found to be congested and edematous in all cases (100%). Small haemorrhages were typically observed in all cases (100%) in the interlobular spaces and lung borders. Frothy, dark hemolyzed blood was seen flowing out of the cut. </w:t>
      </w:r>
      <w:r w:rsidRPr="00127DA3">
        <w:rPr>
          <w:rFonts w:ascii="Times New Roman" w:eastAsia="Times New Roman" w:hAnsi="Times New Roman" w:cs="Times New Roman"/>
          <w:b/>
          <w:bCs/>
          <w:i/>
          <w:sz w:val="24"/>
          <w:szCs w:val="24"/>
          <w:lang w:bidi="ar-EG"/>
        </w:rPr>
        <w:t xml:space="preserve">Hugar et al. (2014) and </w:t>
      </w:r>
      <w:r w:rsidR="000E04FA" w:rsidRPr="000E04FA">
        <w:rPr>
          <w:rFonts w:ascii="Times New Roman" w:eastAsia="Times New Roman" w:hAnsi="Times New Roman" w:cs="Times New Roman"/>
          <w:b/>
          <w:bCs/>
          <w:i/>
          <w:iCs/>
          <w:sz w:val="24"/>
          <w:szCs w:val="24"/>
          <w:lang w:bidi="ar-EG"/>
        </w:rPr>
        <w:t>Jain et al. (2005)</w:t>
      </w:r>
      <w:r w:rsidR="000E04FA">
        <w:rPr>
          <w:rFonts w:ascii="Times New Roman" w:eastAsia="Times New Roman" w:hAnsi="Times New Roman" w:cs="Times New Roman"/>
          <w:b/>
          <w:bCs/>
          <w:i/>
          <w:iCs/>
          <w:sz w:val="24"/>
          <w:szCs w:val="24"/>
          <w:lang w:bidi="ar-EG"/>
        </w:rPr>
        <w:t xml:space="preserve"> </w:t>
      </w:r>
      <w:r w:rsidRPr="00127DA3">
        <w:rPr>
          <w:rFonts w:ascii="Times New Roman" w:eastAsia="Times New Roman" w:hAnsi="Times New Roman" w:cs="Times New Roman"/>
          <w:iCs/>
          <w:sz w:val="24"/>
          <w:szCs w:val="24"/>
          <w:lang w:bidi="ar-EG"/>
        </w:rPr>
        <w:t>previously reported similar findings</w:t>
      </w:r>
      <w:bookmarkStart w:id="26" w:name="_Hlk111583681"/>
      <w:r w:rsidRPr="00127DA3">
        <w:rPr>
          <w:rFonts w:ascii="Times New Roman" w:eastAsia="Times New Roman" w:hAnsi="Times New Roman" w:cs="Times New Roman"/>
          <w:iCs/>
          <w:sz w:val="24"/>
          <w:szCs w:val="24"/>
          <w:lang w:bidi="ar-EG"/>
        </w:rPr>
        <w:t>.</w:t>
      </w:r>
      <w:bookmarkEnd w:id="26"/>
    </w:p>
    <w:p w14:paraId="54537B26" w14:textId="1B066C34" w:rsidR="00D36DE9" w:rsidRPr="00D36DE9" w:rsidRDefault="000B7CA3" w:rsidP="00D36DE9">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0B7CA3">
        <w:rPr>
          <w:rFonts w:ascii="Times New Roman" w:eastAsia="Times New Roman" w:hAnsi="Times New Roman" w:cs="Times New Roman"/>
          <w:iCs/>
          <w:sz w:val="24"/>
          <w:szCs w:val="24"/>
          <w:lang w:bidi="ar-EG"/>
        </w:rPr>
        <w:t>Furthermore, the current study found that on internal examination, the stomach had greyish brown fluid or pasty material in 7 (70% of the cases). The distinct odor was detected in 8 out of 10 cases (80%).</w:t>
      </w:r>
      <w:r>
        <w:rPr>
          <w:rFonts w:ascii="Times New Roman" w:eastAsia="Times New Roman" w:hAnsi="Times New Roman" w:cs="Times New Roman"/>
          <w:iCs/>
          <w:sz w:val="24"/>
          <w:szCs w:val="24"/>
          <w:lang w:bidi="ar-EG"/>
        </w:rPr>
        <w:t xml:space="preserve"> </w:t>
      </w:r>
      <w:r w:rsidR="00D36DE9" w:rsidRPr="00D36DE9">
        <w:rPr>
          <w:rFonts w:ascii="Times New Roman" w:eastAsia="Times New Roman" w:hAnsi="Times New Roman" w:cs="Times New Roman"/>
          <w:iCs/>
          <w:sz w:val="24"/>
          <w:szCs w:val="24"/>
          <w:lang w:bidi="ar-EG"/>
        </w:rPr>
        <w:t>Sloughing of mucosa was also observed in all the cases (100%), more in the fungal region.</w:t>
      </w:r>
    </w:p>
    <w:p w14:paraId="0A24D924" w14:textId="0A71A660" w:rsidR="006F51B8" w:rsidRPr="000E04FA" w:rsidRDefault="000B7CA3" w:rsidP="000E04FA">
      <w:pPr>
        <w:autoSpaceDE w:val="0"/>
        <w:autoSpaceDN w:val="0"/>
        <w:bidi w:val="0"/>
        <w:adjustRightInd w:val="0"/>
        <w:spacing w:after="200" w:line="240" w:lineRule="auto"/>
        <w:ind w:firstLine="360"/>
        <w:jc w:val="both"/>
        <w:rPr>
          <w:rFonts w:ascii="Times New Roman" w:eastAsia="Times New Roman" w:hAnsi="Times New Roman" w:cs="Times New Roman"/>
          <w:b/>
          <w:bCs/>
          <w:i/>
          <w:iCs/>
          <w:sz w:val="24"/>
          <w:szCs w:val="24"/>
          <w:lang w:bidi="ar-EG"/>
        </w:rPr>
      </w:pPr>
      <w:r w:rsidRPr="000B7CA3">
        <w:rPr>
          <w:rFonts w:ascii="Times New Roman" w:eastAsia="Times New Roman" w:hAnsi="Times New Roman" w:cs="Times New Roman"/>
          <w:iCs/>
          <w:sz w:val="24"/>
          <w:szCs w:val="24"/>
          <w:lang w:bidi="ar-EG"/>
        </w:rPr>
        <w:t xml:space="preserve">These findings were </w:t>
      </w:r>
      <w:r>
        <w:rPr>
          <w:rFonts w:ascii="Times New Roman" w:eastAsia="Times New Roman" w:hAnsi="Times New Roman" w:cs="Times New Roman"/>
          <w:iCs/>
          <w:sz w:val="24"/>
          <w:szCs w:val="24"/>
          <w:lang w:bidi="ar-EG"/>
        </w:rPr>
        <w:t>in harmony</w:t>
      </w:r>
      <w:r w:rsidRPr="000B7CA3">
        <w:rPr>
          <w:rFonts w:ascii="Times New Roman" w:eastAsia="Times New Roman" w:hAnsi="Times New Roman" w:cs="Times New Roman"/>
          <w:iCs/>
          <w:sz w:val="24"/>
          <w:szCs w:val="24"/>
          <w:lang w:bidi="ar-EG"/>
        </w:rPr>
        <w:t xml:space="preserve"> with those of </w:t>
      </w:r>
      <w:r w:rsidR="000E04FA" w:rsidRPr="000E04FA">
        <w:rPr>
          <w:rFonts w:ascii="Times New Roman" w:eastAsia="Times New Roman" w:hAnsi="Times New Roman" w:cs="Times New Roman"/>
          <w:b/>
          <w:bCs/>
          <w:i/>
          <w:iCs/>
          <w:sz w:val="24"/>
          <w:szCs w:val="24"/>
          <w:lang w:bidi="ar-EG"/>
        </w:rPr>
        <w:t>Jain et al. (2005)</w:t>
      </w:r>
      <w:r w:rsidRPr="000B7CA3">
        <w:rPr>
          <w:rFonts w:ascii="Times New Roman" w:eastAsia="Times New Roman" w:hAnsi="Times New Roman" w:cs="Times New Roman"/>
          <w:b/>
          <w:bCs/>
          <w:i/>
          <w:sz w:val="24"/>
          <w:szCs w:val="24"/>
          <w:lang w:bidi="ar-EG"/>
        </w:rPr>
        <w:t>,</w:t>
      </w:r>
      <w:r w:rsidRPr="000B7CA3">
        <w:rPr>
          <w:rFonts w:ascii="Times New Roman" w:eastAsia="Times New Roman" w:hAnsi="Times New Roman" w:cs="Times New Roman"/>
          <w:iCs/>
          <w:sz w:val="24"/>
          <w:szCs w:val="24"/>
          <w:lang w:bidi="ar-EG"/>
        </w:rPr>
        <w:t xml:space="preserve"> who observed that the stomach contained greyish brown fluid or pasty material in 29 cases (58%). The distinct odor was recognized in 33 (66% of the studied cases).</w:t>
      </w:r>
      <w:r>
        <w:rPr>
          <w:rFonts w:ascii="Times New Roman" w:eastAsia="Times New Roman" w:hAnsi="Times New Roman" w:cs="Times New Roman"/>
          <w:iCs/>
          <w:sz w:val="24"/>
          <w:szCs w:val="24"/>
          <w:lang w:bidi="ar-EG"/>
        </w:rPr>
        <w:t xml:space="preserve"> </w:t>
      </w:r>
      <w:r w:rsidR="00D36DE9" w:rsidRPr="00D36DE9">
        <w:rPr>
          <w:rFonts w:ascii="Times New Roman" w:eastAsia="Times New Roman" w:hAnsi="Times New Roman" w:cs="Times New Roman"/>
          <w:iCs/>
          <w:sz w:val="24"/>
          <w:szCs w:val="24"/>
          <w:lang w:bidi="ar-EG"/>
        </w:rPr>
        <w:t xml:space="preserve">Sloughing of mucosa was also observed in all the cases, more in the fungal region which explained by raising and accumulating of phosphine gas vapors in fundal region </w:t>
      </w:r>
      <w:r w:rsidR="00D36DE9" w:rsidRPr="00D36DE9">
        <w:rPr>
          <w:rFonts w:ascii="Times New Roman" w:eastAsia="Times New Roman" w:hAnsi="Times New Roman" w:cs="Times New Roman"/>
          <w:b/>
          <w:bCs/>
          <w:i/>
          <w:sz w:val="24"/>
          <w:szCs w:val="24"/>
          <w:lang w:bidi="ar-EG"/>
        </w:rPr>
        <w:t>(</w:t>
      </w:r>
      <w:bookmarkStart w:id="27" w:name="_Hlk110332603"/>
      <w:r w:rsidR="00D36DE9" w:rsidRPr="00D36DE9">
        <w:rPr>
          <w:rFonts w:ascii="Times New Roman" w:eastAsia="Times New Roman" w:hAnsi="Times New Roman" w:cs="Times New Roman"/>
          <w:b/>
          <w:bCs/>
          <w:i/>
          <w:iCs/>
          <w:sz w:val="24"/>
          <w:szCs w:val="24"/>
          <w:lang w:bidi="ar-EG"/>
        </w:rPr>
        <w:t>Shaheen et al., 2018</w:t>
      </w:r>
      <w:bookmarkEnd w:id="27"/>
      <w:r w:rsidR="00D36DE9" w:rsidRPr="00D36DE9">
        <w:rPr>
          <w:rFonts w:ascii="Times New Roman" w:eastAsia="Times New Roman" w:hAnsi="Times New Roman" w:cs="Times New Roman"/>
          <w:b/>
          <w:bCs/>
          <w:i/>
          <w:iCs/>
          <w:sz w:val="24"/>
          <w:szCs w:val="24"/>
          <w:lang w:bidi="ar-EG"/>
        </w:rPr>
        <w:t>)</w:t>
      </w:r>
      <w:r w:rsidR="00D36DE9" w:rsidRPr="00D36DE9">
        <w:rPr>
          <w:rFonts w:ascii="Times New Roman" w:eastAsia="Times New Roman" w:hAnsi="Times New Roman" w:cs="Times New Roman"/>
          <w:iCs/>
          <w:sz w:val="24"/>
          <w:szCs w:val="24"/>
          <w:lang w:bidi="ar-EG"/>
        </w:rPr>
        <w:t xml:space="preserve">. </w:t>
      </w:r>
      <w:r w:rsidR="006F51B8" w:rsidRPr="006F51B8">
        <w:rPr>
          <w:rFonts w:ascii="Times New Roman" w:eastAsia="Times New Roman" w:hAnsi="Times New Roman" w:cs="Times New Roman"/>
          <w:iCs/>
          <w:sz w:val="24"/>
          <w:szCs w:val="24"/>
          <w:lang w:bidi="ar-EG"/>
        </w:rPr>
        <w:t>On the other hand, he explained that the odor indicator is likely to be observed during autopsy in non-hospitalized cases as well as in hospitalized cases where gastric lavage was not performed.</w:t>
      </w:r>
    </w:p>
    <w:p w14:paraId="01EF8618" w14:textId="542AFD57" w:rsidR="00A309B9" w:rsidRDefault="00A309B9" w:rsidP="00D36DE9">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A309B9">
        <w:rPr>
          <w:rFonts w:ascii="Times New Roman" w:eastAsia="Times New Roman" w:hAnsi="Times New Roman" w:cs="Times New Roman"/>
          <w:b/>
          <w:bCs/>
          <w:i/>
          <w:sz w:val="24"/>
          <w:szCs w:val="24"/>
          <w:lang w:bidi="ar-EG"/>
        </w:rPr>
        <w:t xml:space="preserve">Hugar et al. (2014) </w:t>
      </w:r>
      <w:r w:rsidRPr="00A309B9">
        <w:rPr>
          <w:rFonts w:ascii="Times New Roman" w:eastAsia="Times New Roman" w:hAnsi="Times New Roman" w:cs="Times New Roman"/>
          <w:iCs/>
          <w:sz w:val="24"/>
          <w:szCs w:val="24"/>
          <w:lang w:bidi="ar-EG"/>
        </w:rPr>
        <w:t>supported our findings by reporting</w:t>
      </w:r>
      <w:r>
        <w:rPr>
          <w:rFonts w:ascii="Times New Roman" w:eastAsia="Times New Roman" w:hAnsi="Times New Roman" w:cs="Times New Roman"/>
          <w:iCs/>
          <w:sz w:val="24"/>
          <w:szCs w:val="24"/>
          <w:lang w:bidi="ar-EG"/>
        </w:rPr>
        <w:t xml:space="preserve"> in his case report study</w:t>
      </w:r>
      <w:r w:rsidRPr="00A309B9">
        <w:rPr>
          <w:rFonts w:ascii="Times New Roman" w:eastAsia="Times New Roman" w:hAnsi="Times New Roman" w:cs="Times New Roman"/>
          <w:iCs/>
          <w:sz w:val="24"/>
          <w:szCs w:val="24"/>
          <w:lang w:bidi="ar-EG"/>
        </w:rPr>
        <w:t xml:space="preserve"> that the stomach contained approximately 300 mL of dark brown colored fluid (altered blood) and showed hemorrhagic regions with ulcers on the mucosal surface.</w:t>
      </w:r>
    </w:p>
    <w:p w14:paraId="78110EE0" w14:textId="2D44EAE5" w:rsidR="0053461B" w:rsidRDefault="0053461B" w:rsidP="00D36DE9">
      <w:pPr>
        <w:autoSpaceDE w:val="0"/>
        <w:autoSpaceDN w:val="0"/>
        <w:bidi w:val="0"/>
        <w:adjustRightInd w:val="0"/>
        <w:spacing w:after="200" w:line="240" w:lineRule="auto"/>
        <w:ind w:firstLine="360"/>
        <w:jc w:val="both"/>
        <w:rPr>
          <w:rFonts w:ascii="Times New Roman" w:eastAsia="Times New Roman" w:hAnsi="Times New Roman" w:cs="Times New Roman"/>
          <w:iCs/>
          <w:sz w:val="24"/>
          <w:szCs w:val="24"/>
          <w:lang w:bidi="ar-EG"/>
        </w:rPr>
      </w:pPr>
      <w:r w:rsidRPr="0053461B">
        <w:rPr>
          <w:rFonts w:ascii="Times New Roman" w:eastAsia="Times New Roman" w:hAnsi="Times New Roman" w:cs="Times New Roman"/>
          <w:iCs/>
          <w:sz w:val="24"/>
          <w:szCs w:val="24"/>
          <w:lang w:bidi="ar-EG"/>
        </w:rPr>
        <w:t xml:space="preserve">The histological findings in the stomach specimens of aluminum phosphide poisoning cases included congestion in all hospitalized cases and patchy submucosal congestion in the remaining cases. Edema was seen in all </w:t>
      </w:r>
      <w:r>
        <w:rPr>
          <w:rFonts w:ascii="Times New Roman" w:eastAsia="Times New Roman" w:hAnsi="Times New Roman" w:cs="Times New Roman"/>
          <w:iCs/>
          <w:sz w:val="24"/>
          <w:szCs w:val="24"/>
          <w:lang w:bidi="ar-EG"/>
        </w:rPr>
        <w:t>cases</w:t>
      </w:r>
      <w:r w:rsidRPr="0053461B">
        <w:rPr>
          <w:rFonts w:ascii="Times New Roman" w:eastAsia="Times New Roman" w:hAnsi="Times New Roman" w:cs="Times New Roman"/>
          <w:iCs/>
          <w:sz w:val="24"/>
          <w:szCs w:val="24"/>
          <w:lang w:bidi="ar-EG"/>
        </w:rPr>
        <w:t xml:space="preserve">, ranging from mild to severe. Necrosis of the mucosa of the fundus region was seen in all </w:t>
      </w:r>
      <w:r w:rsidR="00A96359">
        <w:rPr>
          <w:rFonts w:ascii="Times New Roman" w:eastAsia="Times New Roman" w:hAnsi="Times New Roman" w:cs="Times New Roman"/>
          <w:iCs/>
          <w:sz w:val="24"/>
          <w:szCs w:val="24"/>
          <w:lang w:bidi="ar-EG"/>
        </w:rPr>
        <w:t>cases</w:t>
      </w:r>
      <w:r w:rsidRPr="0053461B">
        <w:rPr>
          <w:rFonts w:ascii="Times New Roman" w:eastAsia="Times New Roman" w:hAnsi="Times New Roman" w:cs="Times New Roman"/>
          <w:iCs/>
          <w:sz w:val="24"/>
          <w:szCs w:val="24"/>
          <w:lang w:bidi="ar-EG"/>
        </w:rPr>
        <w:t xml:space="preserve"> (100%), with 5 cases (50%) showing necrosis in regions other than the fundus region. </w:t>
      </w:r>
      <w:r w:rsidR="00A96359">
        <w:rPr>
          <w:rFonts w:ascii="Times New Roman" w:eastAsia="Times New Roman" w:hAnsi="Times New Roman" w:cs="Times New Roman"/>
          <w:iCs/>
          <w:sz w:val="24"/>
          <w:szCs w:val="24"/>
          <w:lang w:bidi="ar-EG"/>
        </w:rPr>
        <w:t>Inflammatory</w:t>
      </w:r>
      <w:r w:rsidRPr="0053461B">
        <w:rPr>
          <w:rFonts w:ascii="Times New Roman" w:eastAsia="Times New Roman" w:hAnsi="Times New Roman" w:cs="Times New Roman"/>
          <w:iCs/>
          <w:sz w:val="24"/>
          <w:szCs w:val="24"/>
          <w:lang w:bidi="ar-EG"/>
        </w:rPr>
        <w:t xml:space="preserve"> cell infiltration was observed up to the muscle layer in 7 (70% of the cases).</w:t>
      </w:r>
    </w:p>
    <w:p w14:paraId="50FB53F9" w14:textId="3D09F833" w:rsidR="00A96359" w:rsidRPr="000E04FA" w:rsidRDefault="00A96359" w:rsidP="000E04FA">
      <w:pPr>
        <w:autoSpaceDE w:val="0"/>
        <w:autoSpaceDN w:val="0"/>
        <w:bidi w:val="0"/>
        <w:adjustRightInd w:val="0"/>
        <w:spacing w:after="200" w:line="240" w:lineRule="auto"/>
        <w:ind w:firstLine="360"/>
        <w:jc w:val="both"/>
        <w:rPr>
          <w:rFonts w:ascii="Times New Roman" w:eastAsia="Times New Roman" w:hAnsi="Times New Roman" w:cs="Times New Roman"/>
          <w:b/>
          <w:bCs/>
          <w:i/>
          <w:iCs/>
          <w:sz w:val="24"/>
          <w:szCs w:val="24"/>
          <w:lang w:bidi="ar-EG"/>
        </w:rPr>
      </w:pPr>
      <w:r w:rsidRPr="00A96359">
        <w:rPr>
          <w:rFonts w:ascii="Times New Roman" w:eastAsia="Times New Roman" w:hAnsi="Times New Roman" w:cs="Times New Roman"/>
          <w:bCs/>
          <w:iCs/>
          <w:sz w:val="24"/>
          <w:szCs w:val="24"/>
          <w:lang w:bidi="ar-EG"/>
        </w:rPr>
        <w:t xml:space="preserve">These findings are </w:t>
      </w:r>
      <w:r w:rsidR="00197224">
        <w:rPr>
          <w:rFonts w:ascii="Times New Roman" w:eastAsia="Times New Roman" w:hAnsi="Times New Roman" w:cs="Times New Roman"/>
          <w:bCs/>
          <w:iCs/>
          <w:sz w:val="24"/>
          <w:szCs w:val="24"/>
          <w:lang w:bidi="ar-EG"/>
        </w:rPr>
        <w:t>in line</w:t>
      </w:r>
      <w:r w:rsidRPr="00A96359">
        <w:rPr>
          <w:rFonts w:ascii="Times New Roman" w:eastAsia="Times New Roman" w:hAnsi="Times New Roman" w:cs="Times New Roman"/>
          <w:bCs/>
          <w:iCs/>
          <w:sz w:val="24"/>
          <w:szCs w:val="24"/>
          <w:lang w:bidi="ar-EG"/>
        </w:rPr>
        <w:t xml:space="preserve"> with those of </w:t>
      </w:r>
      <w:r w:rsidR="000E04FA" w:rsidRPr="000E04FA">
        <w:rPr>
          <w:rFonts w:ascii="Times New Roman" w:eastAsia="Times New Roman" w:hAnsi="Times New Roman" w:cs="Times New Roman"/>
          <w:b/>
          <w:bCs/>
          <w:i/>
          <w:iCs/>
          <w:sz w:val="24"/>
          <w:szCs w:val="24"/>
          <w:lang w:bidi="ar-EG"/>
        </w:rPr>
        <w:t>Jain et al. (2005)</w:t>
      </w:r>
      <w:r w:rsidR="000E04FA">
        <w:rPr>
          <w:rFonts w:ascii="Times New Roman" w:eastAsia="Times New Roman" w:hAnsi="Times New Roman" w:cs="Times New Roman"/>
          <w:b/>
          <w:bCs/>
          <w:i/>
          <w:iCs/>
          <w:sz w:val="24"/>
          <w:szCs w:val="24"/>
          <w:lang w:bidi="ar-EG"/>
        </w:rPr>
        <w:t xml:space="preserve">, </w:t>
      </w:r>
      <w:r w:rsidRPr="00A96359">
        <w:rPr>
          <w:rFonts w:ascii="Times New Roman" w:eastAsia="Times New Roman" w:hAnsi="Times New Roman" w:cs="Times New Roman"/>
          <w:bCs/>
          <w:iCs/>
          <w:sz w:val="24"/>
          <w:szCs w:val="24"/>
          <w:lang w:bidi="ar-EG"/>
        </w:rPr>
        <w:t xml:space="preserve">who reported that the stomach wall was congested on microscopic examination in 56% of the </w:t>
      </w:r>
      <w:r w:rsidR="00197224" w:rsidRPr="00A96359">
        <w:rPr>
          <w:rFonts w:ascii="Times New Roman" w:eastAsia="Times New Roman" w:hAnsi="Times New Roman" w:cs="Times New Roman"/>
          <w:bCs/>
          <w:iCs/>
          <w:sz w:val="24"/>
          <w:szCs w:val="24"/>
          <w:lang w:bidi="ar-EG"/>
        </w:rPr>
        <w:t>hospitalized</w:t>
      </w:r>
      <w:r w:rsidRPr="00A96359">
        <w:rPr>
          <w:rFonts w:ascii="Times New Roman" w:eastAsia="Times New Roman" w:hAnsi="Times New Roman" w:cs="Times New Roman"/>
          <w:bCs/>
          <w:iCs/>
          <w:sz w:val="24"/>
          <w:szCs w:val="24"/>
          <w:lang w:bidi="ar-EG"/>
        </w:rPr>
        <w:t xml:space="preserve"> cases, with patchy submucosal congestion in the other cases. Edema was seen in 68% of the cases, with mild </w:t>
      </w:r>
      <w:r w:rsidR="00197224" w:rsidRPr="00A96359">
        <w:rPr>
          <w:rFonts w:ascii="Times New Roman" w:eastAsia="Times New Roman" w:hAnsi="Times New Roman" w:cs="Times New Roman"/>
          <w:bCs/>
          <w:iCs/>
          <w:sz w:val="24"/>
          <w:szCs w:val="24"/>
          <w:lang w:bidi="ar-EG"/>
        </w:rPr>
        <w:t>edema</w:t>
      </w:r>
      <w:r w:rsidRPr="00A96359">
        <w:rPr>
          <w:rFonts w:ascii="Times New Roman" w:eastAsia="Times New Roman" w:hAnsi="Times New Roman" w:cs="Times New Roman"/>
          <w:bCs/>
          <w:iCs/>
          <w:sz w:val="24"/>
          <w:szCs w:val="24"/>
          <w:lang w:bidi="ar-EG"/>
        </w:rPr>
        <w:t xml:space="preserve"> in 52%, moderate </w:t>
      </w:r>
      <w:r w:rsidR="00197224" w:rsidRPr="00A96359">
        <w:rPr>
          <w:rFonts w:ascii="Times New Roman" w:eastAsia="Times New Roman" w:hAnsi="Times New Roman" w:cs="Times New Roman"/>
          <w:bCs/>
          <w:iCs/>
          <w:sz w:val="24"/>
          <w:szCs w:val="24"/>
          <w:lang w:bidi="ar-EG"/>
        </w:rPr>
        <w:t>edema</w:t>
      </w:r>
      <w:r w:rsidRPr="00A96359">
        <w:rPr>
          <w:rFonts w:ascii="Times New Roman" w:eastAsia="Times New Roman" w:hAnsi="Times New Roman" w:cs="Times New Roman"/>
          <w:bCs/>
          <w:iCs/>
          <w:sz w:val="24"/>
          <w:szCs w:val="24"/>
          <w:lang w:bidi="ar-EG"/>
        </w:rPr>
        <w:t xml:space="preserve"> in 14%, and severe </w:t>
      </w:r>
      <w:r w:rsidR="00197224" w:rsidRPr="00A96359">
        <w:rPr>
          <w:rFonts w:ascii="Times New Roman" w:eastAsia="Times New Roman" w:hAnsi="Times New Roman" w:cs="Times New Roman"/>
          <w:bCs/>
          <w:iCs/>
          <w:sz w:val="24"/>
          <w:szCs w:val="24"/>
          <w:lang w:bidi="ar-EG"/>
        </w:rPr>
        <w:t>edema</w:t>
      </w:r>
      <w:r w:rsidRPr="00A96359">
        <w:rPr>
          <w:rFonts w:ascii="Times New Roman" w:eastAsia="Times New Roman" w:hAnsi="Times New Roman" w:cs="Times New Roman"/>
          <w:bCs/>
          <w:iCs/>
          <w:sz w:val="24"/>
          <w:szCs w:val="24"/>
          <w:lang w:bidi="ar-EG"/>
        </w:rPr>
        <w:t xml:space="preserve"> in 2%. Almost all of the cases (98%) had necrosis of the mucosa of the fundus region, while 48% had necrosis in other parts of the stomach in addition to the fundus region. </w:t>
      </w:r>
      <w:r w:rsidR="00197224">
        <w:rPr>
          <w:rFonts w:ascii="Times New Roman" w:eastAsia="Times New Roman" w:hAnsi="Times New Roman" w:cs="Times New Roman"/>
          <w:bCs/>
          <w:iCs/>
          <w:sz w:val="24"/>
          <w:szCs w:val="24"/>
          <w:lang w:bidi="ar-EG"/>
        </w:rPr>
        <w:t>Inflammatory</w:t>
      </w:r>
      <w:r w:rsidRPr="00A96359">
        <w:rPr>
          <w:rFonts w:ascii="Times New Roman" w:eastAsia="Times New Roman" w:hAnsi="Times New Roman" w:cs="Times New Roman"/>
          <w:bCs/>
          <w:iCs/>
          <w:sz w:val="24"/>
          <w:szCs w:val="24"/>
          <w:lang w:bidi="ar-EG"/>
        </w:rPr>
        <w:t xml:space="preserve"> cell infiltration was found up to the muscle layer in 12% of the cases.</w:t>
      </w:r>
    </w:p>
    <w:p w14:paraId="3BBDFD76" w14:textId="77777777" w:rsidR="007C49FE" w:rsidRDefault="00D36DE9" w:rsidP="007C49FE">
      <w:pPr>
        <w:autoSpaceDE w:val="0"/>
        <w:autoSpaceDN w:val="0"/>
        <w:bidi w:val="0"/>
        <w:adjustRightInd w:val="0"/>
        <w:spacing w:after="200" w:line="240" w:lineRule="auto"/>
        <w:ind w:firstLine="360"/>
        <w:jc w:val="both"/>
        <w:rPr>
          <w:rFonts w:ascii="Times New Roman" w:eastAsia="Times New Roman" w:hAnsi="Times New Roman" w:cs="Times New Roman"/>
          <w:bCs/>
          <w:sz w:val="24"/>
          <w:szCs w:val="24"/>
          <w:lang w:val="en-GB" w:bidi="ar-EG"/>
        </w:rPr>
      </w:pPr>
      <w:r w:rsidRPr="00D36DE9">
        <w:rPr>
          <w:rFonts w:ascii="Times New Roman" w:eastAsia="Times New Roman" w:hAnsi="Times New Roman" w:cs="Times New Roman"/>
          <w:bCs/>
          <w:sz w:val="24"/>
          <w:szCs w:val="24"/>
          <w:lang w:val="en-GB" w:bidi="ar-EG"/>
        </w:rPr>
        <w:t xml:space="preserve">The current work showed the intestinal wall of duodenum on microscopic examination was congested &amp; edematous in all the cases. </w:t>
      </w:r>
      <w:r w:rsidR="007C49FE" w:rsidRPr="007C49FE">
        <w:rPr>
          <w:rFonts w:ascii="Times New Roman" w:eastAsia="Times New Roman" w:hAnsi="Times New Roman" w:cs="Times New Roman"/>
          <w:bCs/>
          <w:sz w:val="24"/>
          <w:szCs w:val="24"/>
          <w:lang w:val="en-GB" w:bidi="ar-EG"/>
        </w:rPr>
        <w:t>All of the cases had necrosis of the duodenal mucosa, with three cases having necrosis up to the muscle layer. These findings are also not discussed in the previous studies.</w:t>
      </w:r>
    </w:p>
    <w:p w14:paraId="06A5C295" w14:textId="52EBD101" w:rsidR="00D36DE9" w:rsidRPr="00D36DE9" w:rsidRDefault="00D36DE9" w:rsidP="007C49FE">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bidi="ar-EG"/>
        </w:rPr>
      </w:pPr>
      <w:r w:rsidRPr="00D36DE9">
        <w:rPr>
          <w:rFonts w:ascii="Times New Roman" w:eastAsia="Times New Roman" w:hAnsi="Times New Roman" w:cs="Times New Roman"/>
          <w:bCs/>
          <w:sz w:val="24"/>
          <w:szCs w:val="24"/>
          <w:lang w:bidi="ar-EG"/>
        </w:rPr>
        <w:t xml:space="preserve">As regard histopathological changes in the present study, microscopic examination of the </w:t>
      </w:r>
      <w:r w:rsidRPr="00D36DE9">
        <w:rPr>
          <w:rFonts w:ascii="Times New Roman" w:eastAsia="Times New Roman" w:hAnsi="Times New Roman" w:cs="Times New Roman"/>
          <w:bCs/>
          <w:iCs/>
          <w:sz w:val="24"/>
          <w:szCs w:val="24"/>
          <w:lang w:bidi="ar-EG"/>
        </w:rPr>
        <w:t>kidney specimens revealed congestion, necrosis and areas of degeneration of tubular epithelium in all the cases (100%). Inflammatory cell infiltration &amp; intratubular hemorrhage in 4 cases (40%). Also, there was glomerular necrosis in all the cases (100%).</w:t>
      </w:r>
    </w:p>
    <w:p w14:paraId="4C3E241E" w14:textId="5D53BF42" w:rsidR="00077298" w:rsidRDefault="00077298" w:rsidP="00D36DE9">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bidi="ar-EG"/>
        </w:rPr>
      </w:pPr>
      <w:bookmarkStart w:id="28" w:name="_Hlk110431798"/>
      <w:r w:rsidRPr="00077298">
        <w:rPr>
          <w:rFonts w:ascii="Times New Roman" w:eastAsia="Times New Roman" w:hAnsi="Times New Roman" w:cs="Times New Roman"/>
          <w:bCs/>
          <w:iCs/>
          <w:sz w:val="24"/>
          <w:szCs w:val="24"/>
          <w:lang w:bidi="ar-EG"/>
        </w:rPr>
        <w:t xml:space="preserve">These findings were consistent with those of </w:t>
      </w:r>
      <w:r w:rsidRPr="00077298">
        <w:rPr>
          <w:rFonts w:ascii="Times New Roman" w:eastAsia="Times New Roman" w:hAnsi="Times New Roman" w:cs="Times New Roman"/>
          <w:b/>
          <w:i/>
          <w:sz w:val="24"/>
          <w:szCs w:val="24"/>
          <w:lang w:bidi="ar-EG"/>
        </w:rPr>
        <w:t>Liang et al. (2020)</w:t>
      </w:r>
      <w:r w:rsidRPr="00077298">
        <w:rPr>
          <w:rFonts w:ascii="Times New Roman" w:eastAsia="Times New Roman" w:hAnsi="Times New Roman" w:cs="Times New Roman"/>
          <w:bCs/>
          <w:iCs/>
          <w:sz w:val="24"/>
          <w:szCs w:val="24"/>
          <w:lang w:bidi="ar-EG"/>
        </w:rPr>
        <w:t xml:space="preserve"> who reported that epithelial necrosis was detected in both the proximal and distal renal tubules of all eight decedents in his </w:t>
      </w:r>
      <w:r>
        <w:rPr>
          <w:rFonts w:ascii="Times New Roman" w:eastAsia="Times New Roman" w:hAnsi="Times New Roman" w:cs="Times New Roman"/>
          <w:bCs/>
          <w:iCs/>
          <w:sz w:val="24"/>
          <w:szCs w:val="24"/>
          <w:lang w:bidi="ar-EG"/>
        </w:rPr>
        <w:t>study</w:t>
      </w:r>
      <w:r w:rsidRPr="00077298">
        <w:rPr>
          <w:rFonts w:ascii="Times New Roman" w:eastAsia="Times New Roman" w:hAnsi="Times New Roman" w:cs="Times New Roman"/>
          <w:bCs/>
          <w:iCs/>
          <w:sz w:val="24"/>
          <w:szCs w:val="24"/>
          <w:lang w:bidi="ar-EG"/>
        </w:rPr>
        <w:t xml:space="preserve">. Tubular dilatation, edema, and even balloon degeneration </w:t>
      </w:r>
      <w:r w:rsidR="000E04FA" w:rsidRPr="00077298">
        <w:rPr>
          <w:rFonts w:ascii="Times New Roman" w:eastAsia="Times New Roman" w:hAnsi="Times New Roman" w:cs="Times New Roman"/>
          <w:bCs/>
          <w:iCs/>
          <w:sz w:val="24"/>
          <w:szCs w:val="24"/>
          <w:lang w:bidi="ar-EG"/>
        </w:rPr>
        <w:t>was</w:t>
      </w:r>
      <w:r w:rsidRPr="00077298">
        <w:rPr>
          <w:rFonts w:ascii="Times New Roman" w:eastAsia="Times New Roman" w:hAnsi="Times New Roman" w:cs="Times New Roman"/>
          <w:bCs/>
          <w:iCs/>
          <w:sz w:val="24"/>
          <w:szCs w:val="24"/>
          <w:lang w:bidi="ar-EG"/>
        </w:rPr>
        <w:t xml:space="preserve"> occasionally reported. Interstitial bleeding with inflammatory cell infiltration was discovered in study deceased no. 1.</w:t>
      </w:r>
    </w:p>
    <w:p w14:paraId="7E27A16B" w14:textId="5E754FFB" w:rsidR="00D36DE9" w:rsidRPr="00D36DE9" w:rsidRDefault="00D36DE9" w:rsidP="000E04FA">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D36DE9">
        <w:rPr>
          <w:rFonts w:ascii="Times New Roman" w:eastAsia="Times New Roman" w:hAnsi="Times New Roman" w:cs="Times New Roman"/>
          <w:bCs/>
          <w:iCs/>
          <w:sz w:val="24"/>
          <w:szCs w:val="24"/>
          <w:lang w:bidi="ar-EG"/>
        </w:rPr>
        <w:t>In partially agreement with the current findings,</w:t>
      </w:r>
      <w:r w:rsidRPr="00D36DE9">
        <w:rPr>
          <w:rFonts w:ascii="Times New Roman" w:eastAsia="Times New Roman" w:hAnsi="Times New Roman" w:cs="Times New Roman"/>
          <w:b/>
          <w:bCs/>
          <w:i/>
          <w:iCs/>
          <w:sz w:val="24"/>
          <w:szCs w:val="24"/>
          <w:lang w:bidi="ar-EG"/>
        </w:rPr>
        <w:t xml:space="preserve"> </w:t>
      </w:r>
      <w:bookmarkStart w:id="29" w:name="_Hlk110334954"/>
      <w:bookmarkEnd w:id="28"/>
      <w:r w:rsidR="000E04FA" w:rsidRPr="000E04FA">
        <w:rPr>
          <w:rFonts w:ascii="Times New Roman" w:eastAsia="Times New Roman" w:hAnsi="Times New Roman" w:cs="Times New Roman"/>
          <w:b/>
          <w:bCs/>
          <w:i/>
          <w:iCs/>
          <w:sz w:val="24"/>
          <w:szCs w:val="24"/>
          <w:lang w:bidi="ar-EG"/>
        </w:rPr>
        <w:t>Manoj and Rohini</w:t>
      </w:r>
      <w:r w:rsidRPr="00D36DE9">
        <w:rPr>
          <w:rFonts w:ascii="Times New Roman" w:eastAsia="Times New Roman" w:hAnsi="Times New Roman" w:cs="Times New Roman"/>
          <w:b/>
          <w:bCs/>
          <w:i/>
          <w:iCs/>
          <w:sz w:val="24"/>
          <w:szCs w:val="24"/>
          <w:lang w:bidi="ar-EG"/>
        </w:rPr>
        <w:t xml:space="preserve"> (2020) </w:t>
      </w:r>
      <w:r w:rsidRPr="00D36DE9">
        <w:rPr>
          <w:rFonts w:ascii="Times New Roman" w:eastAsia="Times New Roman" w:hAnsi="Times New Roman" w:cs="Times New Roman"/>
          <w:sz w:val="24"/>
          <w:szCs w:val="24"/>
          <w:lang w:bidi="ar-EG"/>
        </w:rPr>
        <w:t xml:space="preserve">reported that the glomeruli generally appeared normal and showed mild congestion in few cases, but that not correlated with our findings. Another important finding in kidney was intratubular hemorrhage with RBC within tubules; </w:t>
      </w:r>
      <w:bookmarkEnd w:id="29"/>
      <w:r w:rsidRPr="00D36DE9">
        <w:rPr>
          <w:rFonts w:ascii="Times New Roman" w:eastAsia="Times New Roman" w:hAnsi="Times New Roman" w:cs="Times New Roman"/>
          <w:sz w:val="24"/>
          <w:szCs w:val="24"/>
          <w:lang w:bidi="ar-EG"/>
        </w:rPr>
        <w:t>that correlated with the present work.</w:t>
      </w:r>
    </w:p>
    <w:p w14:paraId="5168913D" w14:textId="77777777" w:rsidR="00D36DE9" w:rsidRPr="00D36DE9" w:rsidRDefault="00D36DE9" w:rsidP="00D36DE9">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bidi="ar-EG"/>
        </w:rPr>
      </w:pPr>
      <w:r w:rsidRPr="00D36DE9">
        <w:rPr>
          <w:rFonts w:ascii="Times New Roman" w:eastAsia="Times New Roman" w:hAnsi="Times New Roman" w:cs="Times New Roman"/>
          <w:bCs/>
          <w:iCs/>
          <w:sz w:val="24"/>
          <w:szCs w:val="24"/>
          <w:lang w:bidi="ar-EG"/>
        </w:rPr>
        <w:t>Also, the microscopic examination of the lung specimens in the present study showed congestion and edema, which varied from mild to severe in all the cases (100%). Thickening of alveoli by hemolyzed red cells and dilated capillaries were seen in all the cases (100%) and inflammatory cell infiltration around bronchioles in 2 cases (20%).</w:t>
      </w:r>
    </w:p>
    <w:p w14:paraId="294CB4A1" w14:textId="7A2E9024" w:rsidR="00563537" w:rsidRDefault="00563537" w:rsidP="00E26946">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bidi="ar-EG"/>
        </w:rPr>
      </w:pPr>
      <w:r w:rsidRPr="00563537">
        <w:rPr>
          <w:rFonts w:ascii="Times New Roman" w:eastAsia="Times New Roman" w:hAnsi="Times New Roman" w:cs="Times New Roman"/>
          <w:bCs/>
          <w:iCs/>
          <w:sz w:val="24"/>
          <w:szCs w:val="24"/>
          <w:lang w:bidi="ar-EG"/>
        </w:rPr>
        <w:t xml:space="preserve">These findings are in accordance with those of </w:t>
      </w:r>
      <w:r w:rsidRPr="00563537">
        <w:rPr>
          <w:rFonts w:ascii="Times New Roman" w:eastAsia="Times New Roman" w:hAnsi="Times New Roman" w:cs="Times New Roman"/>
          <w:b/>
          <w:i/>
          <w:sz w:val="24"/>
          <w:szCs w:val="24"/>
          <w:lang w:bidi="ar-EG"/>
        </w:rPr>
        <w:t xml:space="preserve">Liang et al. (2020) and </w:t>
      </w:r>
      <w:r w:rsidR="00E26946" w:rsidRPr="00E26946">
        <w:rPr>
          <w:rFonts w:ascii="Times New Roman" w:eastAsia="Times New Roman" w:hAnsi="Times New Roman" w:cs="Times New Roman"/>
          <w:b/>
          <w:bCs/>
          <w:i/>
          <w:iCs/>
          <w:sz w:val="24"/>
          <w:szCs w:val="24"/>
          <w:lang w:bidi="ar-EG"/>
        </w:rPr>
        <w:t xml:space="preserve">Jain et al. </w:t>
      </w:r>
      <w:r w:rsidRPr="00563537">
        <w:rPr>
          <w:rFonts w:ascii="Times New Roman" w:eastAsia="Times New Roman" w:hAnsi="Times New Roman" w:cs="Times New Roman"/>
          <w:b/>
          <w:i/>
          <w:sz w:val="24"/>
          <w:szCs w:val="24"/>
          <w:lang w:bidi="ar-EG"/>
        </w:rPr>
        <w:t>(2005),</w:t>
      </w:r>
      <w:r w:rsidRPr="00563537">
        <w:rPr>
          <w:rFonts w:ascii="Times New Roman" w:eastAsia="Times New Roman" w:hAnsi="Times New Roman" w:cs="Times New Roman"/>
          <w:bCs/>
          <w:iCs/>
          <w:sz w:val="24"/>
          <w:szCs w:val="24"/>
          <w:lang w:bidi="ar-EG"/>
        </w:rPr>
        <w:t xml:space="preserve"> who discovered severe edoema and mild haemorrhaging in numerous alveoli in aluminium phosphide poisoning cases. Many areas had collapsed alveoli and bronchioles, as well as alveolar dilatation. Necrosis and exfoliation of the bronchial mucosa epithelium were occasionally detected, together with peribronchiolar inflammatory infiltrate.</w:t>
      </w:r>
    </w:p>
    <w:p w14:paraId="60D4AFD0" w14:textId="20087918" w:rsidR="00563537" w:rsidRDefault="00D36DE9" w:rsidP="00563537">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bidi="ar-EG"/>
        </w:rPr>
      </w:pPr>
      <w:r w:rsidRPr="00D36DE9">
        <w:rPr>
          <w:rFonts w:ascii="Times New Roman" w:eastAsia="Times New Roman" w:hAnsi="Times New Roman" w:cs="Times New Roman"/>
          <w:sz w:val="24"/>
          <w:szCs w:val="24"/>
          <w:lang w:bidi="ar-EG"/>
        </w:rPr>
        <w:t xml:space="preserve">The current work showed histopathological changes of the heart specimens of aluminum phosphide poisoning cases. </w:t>
      </w:r>
      <w:r w:rsidR="00563537" w:rsidRPr="00563537">
        <w:rPr>
          <w:rFonts w:ascii="Times New Roman" w:eastAsia="Times New Roman" w:hAnsi="Times New Roman" w:cs="Times New Roman"/>
          <w:bCs/>
          <w:iCs/>
          <w:sz w:val="24"/>
          <w:szCs w:val="24"/>
          <w:lang w:bidi="ar-EG"/>
        </w:rPr>
        <w:t>In all cases (100%), the myocardium was congested and edematous, with localized myocardial necrosis detected in 9 cases (90%) and inflammatory cell infiltration seen in 3 cases (30%).</w:t>
      </w:r>
    </w:p>
    <w:p w14:paraId="1418C332" w14:textId="024B2B6B" w:rsidR="00D36DE9" w:rsidRPr="00D36DE9" w:rsidRDefault="00D36DE9" w:rsidP="00E26946">
      <w:pPr>
        <w:autoSpaceDE w:val="0"/>
        <w:autoSpaceDN w:val="0"/>
        <w:bidi w:val="0"/>
        <w:adjustRightInd w:val="0"/>
        <w:spacing w:after="200" w:line="240" w:lineRule="auto"/>
        <w:ind w:firstLine="360"/>
        <w:jc w:val="both"/>
        <w:rPr>
          <w:rFonts w:ascii="Times New Roman" w:eastAsia="Times New Roman" w:hAnsi="Times New Roman" w:cs="Times New Roman"/>
          <w:b/>
          <w:bCs/>
          <w:i/>
          <w:iCs/>
          <w:sz w:val="24"/>
          <w:szCs w:val="24"/>
          <w:lang w:bidi="ar-EG"/>
        </w:rPr>
      </w:pPr>
      <w:r w:rsidRPr="00D36DE9">
        <w:rPr>
          <w:rFonts w:ascii="Times New Roman" w:eastAsia="Times New Roman" w:hAnsi="Times New Roman" w:cs="Times New Roman"/>
          <w:bCs/>
          <w:iCs/>
          <w:sz w:val="24"/>
          <w:szCs w:val="24"/>
          <w:lang w:bidi="ar-EG"/>
        </w:rPr>
        <w:t xml:space="preserve">These results were in a harmony with </w:t>
      </w:r>
      <w:r w:rsidRPr="00D36DE9">
        <w:rPr>
          <w:rFonts w:ascii="Times New Roman" w:eastAsia="Times New Roman" w:hAnsi="Times New Roman" w:cs="Times New Roman"/>
          <w:b/>
          <w:i/>
          <w:sz w:val="24"/>
          <w:szCs w:val="24"/>
          <w:lang w:bidi="ar-EG"/>
        </w:rPr>
        <w:t>Memiş</w:t>
      </w:r>
      <w:r w:rsidRPr="00D36DE9">
        <w:rPr>
          <w:rFonts w:ascii="Times New Roman" w:eastAsia="Times New Roman" w:hAnsi="Times New Roman" w:cs="Times New Roman"/>
          <w:b/>
          <w:bCs/>
          <w:i/>
          <w:iCs/>
          <w:sz w:val="24"/>
          <w:szCs w:val="24"/>
          <w:lang w:bidi="ar-EG"/>
        </w:rPr>
        <w:t xml:space="preserve"> et al. (2007) and </w:t>
      </w:r>
      <w:r w:rsidR="00E26946" w:rsidRPr="00E26946">
        <w:rPr>
          <w:rFonts w:ascii="Times New Roman" w:eastAsia="Times New Roman" w:hAnsi="Times New Roman" w:cs="Times New Roman"/>
          <w:b/>
          <w:bCs/>
          <w:i/>
          <w:iCs/>
          <w:sz w:val="24"/>
          <w:szCs w:val="24"/>
          <w:lang w:bidi="ar-EG"/>
        </w:rPr>
        <w:t xml:space="preserve">Jain et al. </w:t>
      </w:r>
      <w:r w:rsidRPr="00D36DE9">
        <w:rPr>
          <w:rFonts w:ascii="Times New Roman" w:eastAsia="Times New Roman" w:hAnsi="Times New Roman" w:cs="Times New Roman"/>
          <w:b/>
          <w:bCs/>
          <w:i/>
          <w:iCs/>
          <w:sz w:val="24"/>
          <w:szCs w:val="24"/>
          <w:lang w:bidi="ar-EG"/>
        </w:rPr>
        <w:t xml:space="preserve">(2005) </w:t>
      </w:r>
      <w:r w:rsidRPr="00D36DE9">
        <w:rPr>
          <w:rFonts w:ascii="Times New Roman" w:eastAsia="Times New Roman" w:hAnsi="Times New Roman" w:cs="Times New Roman"/>
          <w:sz w:val="24"/>
          <w:szCs w:val="24"/>
          <w:lang w:val="en-GB" w:bidi="ar-EG"/>
        </w:rPr>
        <w:t xml:space="preserve">who reported that </w:t>
      </w:r>
      <w:r w:rsidRPr="00D36DE9">
        <w:rPr>
          <w:rFonts w:ascii="Times New Roman" w:eastAsia="Times New Roman" w:hAnsi="Times New Roman" w:cs="Times New Roman"/>
          <w:sz w:val="24"/>
          <w:szCs w:val="24"/>
          <w:lang w:bidi="ar-EG"/>
        </w:rPr>
        <w:t>postmortem examinations of aluminum phosphide heart specimens have revealed focal myocardial infiltration and necrosis widespread small vessel injury. </w:t>
      </w:r>
    </w:p>
    <w:p w14:paraId="150510A9" w14:textId="77777777" w:rsidR="00D36DE9" w:rsidRPr="00D36DE9" w:rsidRDefault="00D36DE9" w:rsidP="00D36DE9">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D36DE9">
        <w:rPr>
          <w:rFonts w:ascii="Times New Roman" w:eastAsia="Times New Roman" w:hAnsi="Times New Roman" w:cs="Times New Roman"/>
          <w:bCs/>
          <w:iCs/>
          <w:sz w:val="24"/>
          <w:szCs w:val="24"/>
          <w:lang w:bidi="ar-EG"/>
        </w:rPr>
        <w:t xml:space="preserve">In partially agreement with the current work findings, </w:t>
      </w:r>
      <w:bookmarkStart w:id="30" w:name="_Hlk110432805"/>
      <w:r w:rsidRPr="00D36DE9">
        <w:rPr>
          <w:rFonts w:ascii="Times New Roman" w:eastAsia="Times New Roman" w:hAnsi="Times New Roman" w:cs="Times New Roman"/>
          <w:b/>
          <w:bCs/>
          <w:i/>
          <w:iCs/>
          <w:sz w:val="24"/>
          <w:szCs w:val="24"/>
          <w:lang w:bidi="ar-EG"/>
        </w:rPr>
        <w:t xml:space="preserve">Liang et al. (2020) </w:t>
      </w:r>
      <w:bookmarkEnd w:id="30"/>
      <w:r w:rsidRPr="00D36DE9">
        <w:rPr>
          <w:rFonts w:ascii="Times New Roman" w:eastAsia="Times New Roman" w:hAnsi="Times New Roman" w:cs="Times New Roman"/>
          <w:sz w:val="24"/>
          <w:szCs w:val="24"/>
          <w:lang w:bidi="ar-EG"/>
        </w:rPr>
        <w:t>reported that we continually observed congestion, myocardial contraction band necrosis, coagulation necrosis, vacuolar degeneration, edema in all the study cases and this what is correlated with the current study. But he also reported that   there was scattered inflammatory cells in the heart tissues of all the study cases (100%) which is not correlated with our findings.</w:t>
      </w:r>
    </w:p>
    <w:p w14:paraId="11573F1F" w14:textId="78B4204B" w:rsidR="00FA3046" w:rsidRPr="00FA3046" w:rsidRDefault="00FA3046" w:rsidP="00D36DE9">
      <w:pPr>
        <w:autoSpaceDE w:val="0"/>
        <w:autoSpaceDN w:val="0"/>
        <w:bidi w:val="0"/>
        <w:adjustRightInd w:val="0"/>
        <w:spacing w:after="200" w:line="240" w:lineRule="auto"/>
        <w:ind w:firstLine="360"/>
        <w:jc w:val="both"/>
        <w:rPr>
          <w:rFonts w:ascii="Times New Roman" w:eastAsia="Times New Roman" w:hAnsi="Times New Roman" w:cs="Times New Roman"/>
          <w:b/>
          <w:i/>
          <w:sz w:val="24"/>
          <w:szCs w:val="24"/>
          <w:lang w:bidi="ar-EG"/>
        </w:rPr>
      </w:pPr>
      <w:r w:rsidRPr="00FA3046">
        <w:rPr>
          <w:rFonts w:ascii="Times New Roman" w:eastAsia="Times New Roman" w:hAnsi="Times New Roman" w:cs="Times New Roman"/>
          <w:bCs/>
          <w:iCs/>
          <w:sz w:val="24"/>
          <w:szCs w:val="24"/>
          <w:lang w:bidi="ar-EG"/>
        </w:rPr>
        <w:t xml:space="preserve">The reason of myocardial cellular infiltration as stated in </w:t>
      </w:r>
      <w:r w:rsidRPr="00FA3046">
        <w:rPr>
          <w:rFonts w:ascii="Times New Roman" w:eastAsia="Times New Roman" w:hAnsi="Times New Roman" w:cs="Times New Roman"/>
          <w:b/>
          <w:i/>
          <w:sz w:val="24"/>
          <w:szCs w:val="24"/>
          <w:lang w:bidi="ar-EG"/>
        </w:rPr>
        <w:t>Liang et al. (2020</w:t>
      </w:r>
      <w:r w:rsidRPr="00FA3046">
        <w:rPr>
          <w:rFonts w:ascii="Times New Roman" w:eastAsia="Times New Roman" w:hAnsi="Times New Roman" w:cs="Times New Roman"/>
          <w:bCs/>
          <w:iCs/>
          <w:sz w:val="24"/>
          <w:szCs w:val="24"/>
          <w:lang w:bidi="ar-EG"/>
        </w:rPr>
        <w:t xml:space="preserve">) study was minor in </w:t>
      </w:r>
      <w:r w:rsidR="002C04D5">
        <w:rPr>
          <w:rFonts w:ascii="Times New Roman" w:eastAsia="Times New Roman" w:hAnsi="Times New Roman" w:cs="Times New Roman"/>
          <w:bCs/>
          <w:iCs/>
          <w:sz w:val="24"/>
          <w:szCs w:val="24"/>
          <w:lang w:bidi="ar-EG"/>
        </w:rPr>
        <w:t>current</w:t>
      </w:r>
      <w:r w:rsidRPr="00FA3046">
        <w:rPr>
          <w:rFonts w:ascii="Times New Roman" w:eastAsia="Times New Roman" w:hAnsi="Times New Roman" w:cs="Times New Roman"/>
          <w:bCs/>
          <w:iCs/>
          <w:sz w:val="24"/>
          <w:szCs w:val="24"/>
          <w:lang w:bidi="ar-EG"/>
        </w:rPr>
        <w:t xml:space="preserve"> work, which might be attributed to the fact that the full-blown infarct happened just a short time before the patient died </w:t>
      </w:r>
      <w:r w:rsidRPr="00FA3046">
        <w:rPr>
          <w:rFonts w:ascii="Times New Roman" w:eastAsia="Times New Roman" w:hAnsi="Times New Roman" w:cs="Times New Roman"/>
          <w:b/>
          <w:i/>
          <w:sz w:val="24"/>
          <w:szCs w:val="24"/>
          <w:lang w:bidi="ar-EG"/>
        </w:rPr>
        <w:t>(Shah et al., 2009).</w:t>
      </w:r>
    </w:p>
    <w:p w14:paraId="4BF3ABF1" w14:textId="5F2B0B24" w:rsidR="00D36DE9" w:rsidRPr="00D36DE9" w:rsidRDefault="00D36DE9" w:rsidP="00FA3046">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bidi="ar-EG"/>
        </w:rPr>
      </w:pPr>
      <w:r w:rsidRPr="00D36DE9">
        <w:rPr>
          <w:rFonts w:ascii="Times New Roman" w:eastAsia="Times New Roman" w:hAnsi="Times New Roman" w:cs="Times New Roman"/>
          <w:bCs/>
          <w:sz w:val="24"/>
          <w:szCs w:val="24"/>
          <w:lang w:bidi="ar-EG"/>
        </w:rPr>
        <w:t xml:space="preserve">As regard histopathological changes in the present study, microscopic examination of the liver specimens of aluminum phosphide poisoning cases revealed congestion and </w:t>
      </w:r>
      <w:r w:rsidRPr="00D36DE9">
        <w:rPr>
          <w:rFonts w:ascii="Times New Roman" w:eastAsia="Times New Roman" w:hAnsi="Times New Roman" w:cs="Times New Roman"/>
          <w:bCs/>
          <w:iCs/>
          <w:sz w:val="24"/>
          <w:szCs w:val="24"/>
          <w:lang w:bidi="ar-EG"/>
        </w:rPr>
        <w:t>areas of Centrizonal hemorrhagic necrosis in all cases (100%) in addition to mild fatty changes in 6 cases (60%).</w:t>
      </w:r>
    </w:p>
    <w:p w14:paraId="5E180C7F" w14:textId="77777777" w:rsidR="00D36DE9" w:rsidRPr="00D36DE9" w:rsidRDefault="00D36DE9" w:rsidP="00D36DE9">
      <w:pPr>
        <w:autoSpaceDE w:val="0"/>
        <w:autoSpaceDN w:val="0"/>
        <w:bidi w:val="0"/>
        <w:adjustRightInd w:val="0"/>
        <w:spacing w:after="200" w:line="240" w:lineRule="auto"/>
        <w:ind w:firstLine="360"/>
        <w:jc w:val="both"/>
        <w:rPr>
          <w:rFonts w:ascii="Times New Roman" w:eastAsia="Times New Roman" w:hAnsi="Times New Roman" w:cs="Times New Roman"/>
          <w:bCs/>
          <w:sz w:val="24"/>
          <w:szCs w:val="24"/>
          <w:lang w:bidi="ar-EG"/>
        </w:rPr>
      </w:pPr>
      <w:r w:rsidRPr="00D36DE9">
        <w:rPr>
          <w:rFonts w:ascii="Times New Roman" w:eastAsia="Times New Roman" w:hAnsi="Times New Roman" w:cs="Times New Roman"/>
          <w:bCs/>
          <w:iCs/>
          <w:sz w:val="24"/>
          <w:szCs w:val="24"/>
          <w:lang w:bidi="ar-EG"/>
        </w:rPr>
        <w:t xml:space="preserve">The results of the present study coincided with those of </w:t>
      </w:r>
      <w:r w:rsidRPr="00D36DE9">
        <w:rPr>
          <w:rFonts w:ascii="Times New Roman" w:eastAsia="Times New Roman" w:hAnsi="Times New Roman" w:cs="Times New Roman"/>
          <w:b/>
          <w:bCs/>
          <w:i/>
          <w:iCs/>
          <w:sz w:val="24"/>
          <w:szCs w:val="24"/>
          <w:lang w:bidi="ar-EG"/>
        </w:rPr>
        <w:t xml:space="preserve">Liang et al. (2020) </w:t>
      </w:r>
      <w:r w:rsidRPr="00D36DE9">
        <w:rPr>
          <w:rFonts w:ascii="Times New Roman" w:eastAsia="Times New Roman" w:hAnsi="Times New Roman" w:cs="Times New Roman"/>
          <w:sz w:val="24"/>
          <w:szCs w:val="24"/>
          <w:lang w:bidi="ar-EG"/>
        </w:rPr>
        <w:t xml:space="preserve">who reported that </w:t>
      </w:r>
      <w:r w:rsidRPr="00D36DE9">
        <w:rPr>
          <w:rFonts w:ascii="Times New Roman" w:eastAsia="Times New Roman" w:hAnsi="Times New Roman" w:cs="Times New Roman"/>
          <w:bCs/>
          <w:sz w:val="24"/>
          <w:szCs w:val="24"/>
          <w:lang w:bidi="ar-EG"/>
        </w:rPr>
        <w:t>liver specimens of aluminum phosphide poisoning cases showed focal hepatocyte necrosis with inflammatory cell infiltration, varying degree of edema and congestion in most of the study cases.</w:t>
      </w:r>
    </w:p>
    <w:p w14:paraId="57824819" w14:textId="28A3759A" w:rsidR="00FA3046" w:rsidRDefault="00FA3046" w:rsidP="00E26946">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FA3046">
        <w:rPr>
          <w:rFonts w:ascii="Times New Roman" w:eastAsia="Times New Roman" w:hAnsi="Times New Roman" w:cs="Times New Roman"/>
          <w:sz w:val="24"/>
          <w:szCs w:val="24"/>
          <w:lang w:bidi="ar-EG"/>
        </w:rPr>
        <w:t xml:space="preserve">These findings were in agreement with the results of </w:t>
      </w:r>
      <w:r w:rsidR="00E26946" w:rsidRPr="00E26946">
        <w:rPr>
          <w:rFonts w:ascii="Times New Roman" w:eastAsia="Times New Roman" w:hAnsi="Times New Roman" w:cs="Times New Roman"/>
          <w:b/>
          <w:bCs/>
          <w:i/>
          <w:iCs/>
          <w:sz w:val="24"/>
          <w:szCs w:val="24"/>
          <w:lang w:bidi="ar-EG"/>
        </w:rPr>
        <w:t xml:space="preserve">Jain et al. </w:t>
      </w:r>
      <w:r w:rsidRPr="00FA3046">
        <w:rPr>
          <w:rFonts w:ascii="Times New Roman" w:eastAsia="Times New Roman" w:hAnsi="Times New Roman" w:cs="Times New Roman"/>
          <w:b/>
          <w:bCs/>
          <w:i/>
          <w:iCs/>
          <w:sz w:val="24"/>
          <w:szCs w:val="24"/>
          <w:lang w:bidi="ar-EG"/>
        </w:rPr>
        <w:t>(2005),</w:t>
      </w:r>
      <w:r w:rsidRPr="00FA3046">
        <w:rPr>
          <w:rFonts w:ascii="Times New Roman" w:eastAsia="Times New Roman" w:hAnsi="Times New Roman" w:cs="Times New Roman"/>
          <w:sz w:val="24"/>
          <w:szCs w:val="24"/>
          <w:lang w:bidi="ar-EG"/>
        </w:rPr>
        <w:t xml:space="preserve"> who reported that the liver was congested in 44 cases (88%), there was mild fatty change in 19 cases (38%), and regions of centrizonal hemorrhagic necrosis were identified in 10 cases (20%). Furthermore, </w:t>
      </w:r>
      <w:r w:rsidRPr="007A2368">
        <w:rPr>
          <w:rFonts w:ascii="Times New Roman" w:eastAsia="Times New Roman" w:hAnsi="Times New Roman" w:cs="Times New Roman"/>
          <w:b/>
          <w:bCs/>
          <w:i/>
          <w:iCs/>
          <w:sz w:val="24"/>
          <w:szCs w:val="24"/>
          <w:lang w:bidi="ar-EG"/>
        </w:rPr>
        <w:t>Mehrpour et al. (2008)</w:t>
      </w:r>
      <w:r w:rsidRPr="00FA3046">
        <w:rPr>
          <w:rFonts w:ascii="Times New Roman" w:eastAsia="Times New Roman" w:hAnsi="Times New Roman" w:cs="Times New Roman"/>
          <w:sz w:val="24"/>
          <w:szCs w:val="24"/>
          <w:lang w:bidi="ar-EG"/>
        </w:rPr>
        <w:t xml:space="preserve"> found that central venous congestion, microvacuolizition, hepatocyte degradation, and mononuclear infiltration were the most common histological findings in the liver.</w:t>
      </w:r>
    </w:p>
    <w:p w14:paraId="4B935BD2" w14:textId="7258E627" w:rsidR="00D36DE9" w:rsidRPr="00D36DE9" w:rsidRDefault="00D36DE9" w:rsidP="00FA3046">
      <w:pPr>
        <w:autoSpaceDE w:val="0"/>
        <w:autoSpaceDN w:val="0"/>
        <w:bidi w:val="0"/>
        <w:adjustRightInd w:val="0"/>
        <w:spacing w:after="200" w:line="240" w:lineRule="auto"/>
        <w:ind w:firstLine="360"/>
        <w:jc w:val="both"/>
        <w:rPr>
          <w:rFonts w:ascii="Times New Roman" w:eastAsia="Times New Roman" w:hAnsi="Times New Roman" w:cs="Times New Roman"/>
          <w:bCs/>
          <w:iCs/>
          <w:sz w:val="24"/>
          <w:szCs w:val="24"/>
          <w:lang w:val="en-GB" w:bidi="ar-EG"/>
        </w:rPr>
      </w:pPr>
      <w:r w:rsidRPr="00D36DE9">
        <w:rPr>
          <w:rFonts w:ascii="Times New Roman" w:eastAsia="Times New Roman" w:hAnsi="Times New Roman" w:cs="Times New Roman"/>
          <w:sz w:val="24"/>
          <w:szCs w:val="24"/>
          <w:lang w:bidi="ar-EG"/>
        </w:rPr>
        <w:t xml:space="preserve">The current work showed </w:t>
      </w:r>
      <w:r w:rsidRPr="00D36DE9">
        <w:rPr>
          <w:rFonts w:ascii="Times New Roman" w:eastAsia="Times New Roman" w:hAnsi="Times New Roman" w:cs="Times New Roman"/>
          <w:bCs/>
          <w:iCs/>
          <w:sz w:val="24"/>
          <w:szCs w:val="24"/>
          <w:lang w:bidi="ar-EG"/>
        </w:rPr>
        <w:t>congestion in all the spleen specimens (100%) and Splenic necrosis in 7 cases (70%).</w:t>
      </w:r>
    </w:p>
    <w:p w14:paraId="6F3670C9" w14:textId="0BCF8AD4" w:rsidR="00D36DE9" w:rsidRPr="00D36DE9" w:rsidRDefault="00D36DE9" w:rsidP="00E26946">
      <w:pPr>
        <w:autoSpaceDE w:val="0"/>
        <w:autoSpaceDN w:val="0"/>
        <w:bidi w:val="0"/>
        <w:adjustRightInd w:val="0"/>
        <w:spacing w:after="200" w:line="240" w:lineRule="auto"/>
        <w:ind w:firstLine="360"/>
        <w:jc w:val="both"/>
        <w:rPr>
          <w:rFonts w:ascii="Times New Roman" w:eastAsia="Times New Roman" w:hAnsi="Times New Roman" w:cs="Times New Roman"/>
          <w:sz w:val="24"/>
          <w:szCs w:val="24"/>
          <w:lang w:bidi="ar-EG"/>
        </w:rPr>
      </w:pPr>
      <w:r w:rsidRPr="00D36DE9">
        <w:rPr>
          <w:rFonts w:ascii="Times New Roman" w:eastAsia="Times New Roman" w:hAnsi="Times New Roman" w:cs="Times New Roman"/>
          <w:sz w:val="24"/>
          <w:szCs w:val="24"/>
          <w:lang w:bidi="ar-EG"/>
        </w:rPr>
        <w:t xml:space="preserve">These results are in line with </w:t>
      </w:r>
      <w:bookmarkStart w:id="31" w:name="_Hlk109709508"/>
      <w:r w:rsidRPr="00D36DE9">
        <w:rPr>
          <w:rFonts w:ascii="Times New Roman" w:eastAsia="Times New Roman" w:hAnsi="Times New Roman" w:cs="Times New Roman"/>
          <w:b/>
          <w:bCs/>
          <w:i/>
          <w:iCs/>
          <w:sz w:val="24"/>
          <w:szCs w:val="24"/>
          <w:lang w:bidi="ar-EG"/>
        </w:rPr>
        <w:t>Shaheen</w:t>
      </w:r>
      <w:bookmarkEnd w:id="31"/>
      <w:r w:rsidRPr="00D36DE9">
        <w:rPr>
          <w:rFonts w:ascii="Times New Roman" w:eastAsia="Times New Roman" w:hAnsi="Times New Roman" w:cs="Times New Roman"/>
          <w:b/>
          <w:bCs/>
          <w:i/>
          <w:iCs/>
          <w:sz w:val="24"/>
          <w:szCs w:val="24"/>
          <w:lang w:bidi="ar-EG"/>
        </w:rPr>
        <w:t xml:space="preserve"> et al. (2018) and </w:t>
      </w:r>
      <w:r w:rsidR="00E26946" w:rsidRPr="00E26946">
        <w:rPr>
          <w:rFonts w:ascii="Times New Roman" w:eastAsia="Times New Roman" w:hAnsi="Times New Roman" w:cs="Times New Roman"/>
          <w:b/>
          <w:bCs/>
          <w:i/>
          <w:iCs/>
          <w:sz w:val="24"/>
          <w:szCs w:val="24"/>
          <w:lang w:bidi="ar-EG"/>
        </w:rPr>
        <w:t>Jain et al.</w:t>
      </w:r>
      <w:r w:rsidRPr="00D36DE9">
        <w:rPr>
          <w:rFonts w:ascii="Times New Roman" w:eastAsia="Times New Roman" w:hAnsi="Times New Roman" w:cs="Times New Roman"/>
          <w:b/>
          <w:bCs/>
          <w:i/>
          <w:iCs/>
          <w:sz w:val="24"/>
          <w:szCs w:val="24"/>
          <w:lang w:bidi="ar-EG"/>
        </w:rPr>
        <w:t xml:space="preserve"> (2005) </w:t>
      </w:r>
      <w:r w:rsidRPr="00D36DE9">
        <w:rPr>
          <w:rFonts w:ascii="Times New Roman" w:eastAsia="Times New Roman" w:hAnsi="Times New Roman" w:cs="Times New Roman"/>
          <w:sz w:val="24"/>
          <w:szCs w:val="24"/>
          <w:lang w:bidi="ar-EG"/>
        </w:rPr>
        <w:t>who found that administration of NVP induced histopathological changes of spleen specimens including congestion, edema and areas of splenic necrosis in most of the cases.</w:t>
      </w:r>
    </w:p>
    <w:p w14:paraId="75D93DF0" w14:textId="05791CA3" w:rsidR="007A2368" w:rsidRDefault="007A2368" w:rsidP="007A2368">
      <w:pPr>
        <w:bidi w:val="0"/>
        <w:spacing w:before="240" w:line="240" w:lineRule="auto"/>
        <w:ind w:firstLine="720"/>
        <w:contextualSpacing/>
        <w:jc w:val="both"/>
        <w:rPr>
          <w:rFonts w:ascii="Times New Roman" w:eastAsia="Times New Roman" w:hAnsi="Times New Roman" w:cs="Times New Roman"/>
          <w:b/>
          <w:bCs/>
          <w:i/>
          <w:iCs/>
          <w:sz w:val="24"/>
          <w:szCs w:val="24"/>
          <w:lang w:bidi="ar-EG"/>
        </w:rPr>
      </w:pPr>
      <w:r w:rsidRPr="007A2368">
        <w:rPr>
          <w:rFonts w:ascii="Times New Roman" w:eastAsia="Times New Roman" w:hAnsi="Times New Roman" w:cs="Times New Roman"/>
          <w:sz w:val="24"/>
          <w:szCs w:val="24"/>
          <w:lang w:bidi="ar-EG"/>
        </w:rPr>
        <w:t xml:space="preserve">Previous studies assumed that the primary mechanism of PH3 toxicity was ATP depletion caused by suppression of mitochondrial oxidative phosphorylation </w:t>
      </w:r>
      <w:r w:rsidRPr="007A2368">
        <w:rPr>
          <w:rFonts w:ascii="Times New Roman" w:eastAsia="Times New Roman" w:hAnsi="Times New Roman" w:cs="Times New Roman"/>
          <w:b/>
          <w:bCs/>
          <w:i/>
          <w:iCs/>
          <w:sz w:val="24"/>
          <w:szCs w:val="24"/>
          <w:lang w:bidi="ar-EG"/>
        </w:rPr>
        <w:t>(Bumbrah et al., 2012</w:t>
      </w:r>
      <w:r w:rsidR="00E26946">
        <w:rPr>
          <w:rFonts w:ascii="Times New Roman" w:eastAsia="Times New Roman" w:hAnsi="Times New Roman" w:cs="Times New Roman"/>
          <w:b/>
          <w:bCs/>
          <w:i/>
          <w:iCs/>
          <w:sz w:val="24"/>
          <w:szCs w:val="24"/>
          <w:lang w:bidi="ar-EG"/>
        </w:rPr>
        <w:t xml:space="preserve">; </w:t>
      </w:r>
      <w:r w:rsidRPr="007A2368">
        <w:rPr>
          <w:rFonts w:ascii="Times New Roman" w:eastAsia="Times New Roman" w:hAnsi="Times New Roman" w:cs="Times New Roman"/>
          <w:b/>
          <w:bCs/>
          <w:i/>
          <w:iCs/>
          <w:sz w:val="24"/>
          <w:szCs w:val="24"/>
          <w:lang w:bidi="ar-EG"/>
        </w:rPr>
        <w:t>Moghadamnia AA, 2012).</w:t>
      </w:r>
      <w:r w:rsidRPr="007A2368">
        <w:rPr>
          <w:rFonts w:ascii="Times New Roman" w:eastAsia="Times New Roman" w:hAnsi="Times New Roman" w:cs="Times New Roman"/>
          <w:sz w:val="24"/>
          <w:szCs w:val="24"/>
          <w:lang w:bidi="ar-EG"/>
        </w:rPr>
        <w:t xml:space="preserve"> As our study found, this can cause widespread organ damage. Furthermore, the cardiac and hepatocellular fatty degeneration we found might be regarded typical pathological changes of PH3 poisoning and help to explain the harmful mechanism of PH3 (inhibition of mitochondrial oxidative phosphorylation), as indicated by </w:t>
      </w:r>
      <w:r w:rsidRPr="007A2368">
        <w:rPr>
          <w:rFonts w:ascii="Times New Roman" w:eastAsia="Times New Roman" w:hAnsi="Times New Roman" w:cs="Times New Roman"/>
          <w:b/>
          <w:bCs/>
          <w:i/>
          <w:iCs/>
          <w:sz w:val="24"/>
          <w:szCs w:val="24"/>
          <w:lang w:bidi="ar-EG"/>
        </w:rPr>
        <w:t xml:space="preserve">Liang et al. (2020) </w:t>
      </w:r>
      <w:r>
        <w:rPr>
          <w:rFonts w:ascii="Times New Roman" w:eastAsia="Times New Roman" w:hAnsi="Times New Roman" w:cs="Times New Roman"/>
          <w:b/>
          <w:bCs/>
          <w:i/>
          <w:iCs/>
          <w:sz w:val="24"/>
          <w:szCs w:val="24"/>
          <w:lang w:bidi="ar-EG"/>
        </w:rPr>
        <w:t>study</w:t>
      </w:r>
      <w:r w:rsidRPr="007A2368">
        <w:rPr>
          <w:rFonts w:ascii="Times New Roman" w:eastAsia="Times New Roman" w:hAnsi="Times New Roman" w:cs="Times New Roman"/>
          <w:b/>
          <w:bCs/>
          <w:i/>
          <w:iCs/>
          <w:sz w:val="24"/>
          <w:szCs w:val="24"/>
          <w:lang w:bidi="ar-EG"/>
        </w:rPr>
        <w:t>.</w:t>
      </w:r>
    </w:p>
    <w:p w14:paraId="1F270242" w14:textId="77777777" w:rsidR="003742AB" w:rsidRPr="007A2368" w:rsidRDefault="003742AB" w:rsidP="003742AB">
      <w:pPr>
        <w:bidi w:val="0"/>
        <w:spacing w:before="240" w:line="240" w:lineRule="auto"/>
        <w:ind w:firstLine="720"/>
        <w:contextualSpacing/>
        <w:jc w:val="both"/>
        <w:rPr>
          <w:rFonts w:ascii="Times New Roman" w:eastAsia="Times New Roman" w:hAnsi="Times New Roman" w:cs="Times New Roman"/>
          <w:b/>
          <w:bCs/>
          <w:i/>
          <w:iCs/>
          <w:sz w:val="24"/>
          <w:szCs w:val="24"/>
          <w:lang w:bidi="ar-EG"/>
        </w:rPr>
      </w:pPr>
    </w:p>
    <w:p w14:paraId="1EB1FD03" w14:textId="2054F21E" w:rsidR="00390067" w:rsidRPr="00760047" w:rsidRDefault="00A9394D" w:rsidP="007A2368">
      <w:pPr>
        <w:bidi w:val="0"/>
        <w:spacing w:before="240" w:after="0" w:line="240" w:lineRule="auto"/>
        <w:contextualSpacing/>
        <w:jc w:val="center"/>
        <w:rPr>
          <w:rFonts w:ascii="Times New Roman" w:eastAsia="Times New Roman" w:hAnsi="Times New Roman" w:cs="Times New Roman"/>
          <w:b/>
          <w:bCs/>
          <w:sz w:val="28"/>
          <w:szCs w:val="28"/>
          <w:lang w:bidi="ar-EG"/>
        </w:rPr>
      </w:pPr>
      <w:r w:rsidRPr="00D36DE9">
        <w:rPr>
          <w:rFonts w:ascii="Times New Roman" w:eastAsia="Times New Roman" w:hAnsi="Times New Roman" w:cs="Times New Roman"/>
          <w:b/>
          <w:bCs/>
          <w:sz w:val="28"/>
          <w:szCs w:val="28"/>
          <w:lang w:bidi="ar-EG"/>
        </w:rPr>
        <w:t>CONCLUSION</w:t>
      </w:r>
    </w:p>
    <w:p w14:paraId="02E021D0" w14:textId="2CC8DD13" w:rsidR="00760047" w:rsidRDefault="00F129ED" w:rsidP="003742AB">
      <w:pPr>
        <w:bidi w:val="0"/>
        <w:spacing w:before="240" w:after="200" w:line="276" w:lineRule="auto"/>
        <w:ind w:firstLine="720"/>
        <w:contextualSpacing/>
        <w:jc w:val="both"/>
        <w:rPr>
          <w:rFonts w:ascii="Times New Roman" w:eastAsia="Calibri" w:hAnsi="Times New Roman" w:cs="Times New Roman"/>
          <w:sz w:val="24"/>
          <w:szCs w:val="24"/>
        </w:rPr>
      </w:pPr>
      <w:r w:rsidRPr="00F129ED">
        <w:rPr>
          <w:rFonts w:ascii="Times New Roman" w:eastAsia="Calibri" w:hAnsi="Times New Roman" w:cs="Times New Roman"/>
          <w:sz w:val="24"/>
          <w:szCs w:val="24"/>
        </w:rPr>
        <w:t>We believed that these characteristics abnormalities were an indication of PH3 poisoning and that they helped to describe the harmful mechanism of PH3</w:t>
      </w:r>
      <w:r w:rsidR="002C04D5">
        <w:rPr>
          <w:rFonts w:ascii="Times New Roman" w:eastAsia="Calibri" w:hAnsi="Times New Roman" w:cs="Times New Roman"/>
          <w:sz w:val="24"/>
          <w:szCs w:val="24"/>
        </w:rPr>
        <w:t xml:space="preserve">. </w:t>
      </w:r>
      <w:r w:rsidRPr="00F129ED">
        <w:rPr>
          <w:rFonts w:ascii="Times New Roman" w:eastAsia="Calibri" w:hAnsi="Times New Roman" w:cs="Times New Roman"/>
          <w:sz w:val="24"/>
          <w:szCs w:val="24"/>
        </w:rPr>
        <w:t>We discovered serious damage caused by PH3 in several body systems, including the stomach, duodenum, lung, and kidney, after focusing on the pathological changes on the major organs. Furthermore, we found extensive myocardial, splenic, and hepatocellular deterioration in the heart, spleen, and liver tissues. When taken together, these findings may help to increase knowledge of PH3 toxicity and give indications for potential therapies in acute PH3 poisoning.</w:t>
      </w:r>
    </w:p>
    <w:p w14:paraId="1A62322A" w14:textId="77777777" w:rsidR="00686AC3" w:rsidRDefault="00686AC3" w:rsidP="00686AC3">
      <w:pPr>
        <w:bidi w:val="0"/>
        <w:spacing w:before="240" w:line="240" w:lineRule="auto"/>
        <w:contextualSpacing/>
        <w:jc w:val="center"/>
        <w:rPr>
          <w:rFonts w:ascii="Times New Roman" w:eastAsia="Times New Roman" w:hAnsi="Times New Roman" w:cs="Times New Roman"/>
          <w:b/>
          <w:bCs/>
          <w:sz w:val="28"/>
          <w:szCs w:val="28"/>
          <w:lang w:bidi="ar-EG"/>
        </w:rPr>
      </w:pPr>
    </w:p>
    <w:p w14:paraId="33814A6C" w14:textId="14EB1A72" w:rsidR="00A9394D" w:rsidRPr="00760047" w:rsidRDefault="00A9394D" w:rsidP="00686AC3">
      <w:pPr>
        <w:bidi w:val="0"/>
        <w:spacing w:before="240" w:line="240" w:lineRule="auto"/>
        <w:contextualSpacing/>
        <w:jc w:val="center"/>
        <w:rPr>
          <w:rFonts w:ascii="Times New Roman" w:eastAsia="Times New Roman" w:hAnsi="Times New Roman" w:cs="Times New Roman"/>
          <w:b/>
          <w:bCs/>
          <w:sz w:val="28"/>
          <w:szCs w:val="28"/>
          <w:lang w:bidi="ar-EG"/>
        </w:rPr>
      </w:pPr>
      <w:r w:rsidRPr="00760047">
        <w:rPr>
          <w:rFonts w:ascii="Times New Roman" w:eastAsia="Times New Roman" w:hAnsi="Times New Roman" w:cs="Times New Roman"/>
          <w:b/>
          <w:bCs/>
          <w:sz w:val="28"/>
          <w:szCs w:val="28"/>
          <w:lang w:bidi="ar-EG"/>
        </w:rPr>
        <w:t>RECOMMENDATIONS</w:t>
      </w:r>
    </w:p>
    <w:p w14:paraId="4841DF62" w14:textId="7386EF54" w:rsidR="003742AB" w:rsidRPr="003742AB" w:rsidRDefault="003742AB" w:rsidP="00686AC3">
      <w:pPr>
        <w:pStyle w:val="ListParagraph"/>
        <w:numPr>
          <w:ilvl w:val="0"/>
          <w:numId w:val="24"/>
        </w:numPr>
        <w:autoSpaceDE w:val="0"/>
        <w:autoSpaceDN w:val="0"/>
        <w:bidi w:val="0"/>
        <w:adjustRightInd w:val="0"/>
        <w:spacing w:line="276" w:lineRule="auto"/>
        <w:jc w:val="both"/>
        <w:rPr>
          <w:rFonts w:ascii="Times New Roman" w:eastAsia="Calibri" w:hAnsi="Times New Roman" w:cs="Times New Roman"/>
          <w:sz w:val="24"/>
          <w:szCs w:val="24"/>
        </w:rPr>
      </w:pPr>
      <w:r w:rsidRPr="003742AB">
        <w:rPr>
          <w:rFonts w:ascii="Times New Roman" w:eastAsia="Calibri" w:hAnsi="Times New Roman" w:cs="Times New Roman"/>
          <w:sz w:val="24"/>
          <w:szCs w:val="24"/>
        </w:rPr>
        <w:t>Raising public awareness about its toxicity and fatality through the media is an urgent requirement</w:t>
      </w:r>
      <w:r w:rsidRPr="003742AB">
        <w:rPr>
          <w:rFonts w:ascii="Times New Roman" w:eastAsia="Calibri" w:hAnsi="Times New Roman" w:cs="Times New Roman"/>
          <w:sz w:val="24"/>
          <w:szCs w:val="24"/>
          <w:rtl/>
        </w:rPr>
        <w:t>.</w:t>
      </w:r>
    </w:p>
    <w:p w14:paraId="222390DD" w14:textId="30B36F2E" w:rsidR="003742AB" w:rsidRPr="003742AB" w:rsidRDefault="003742AB" w:rsidP="00686AC3">
      <w:pPr>
        <w:pStyle w:val="ListParagraph"/>
        <w:numPr>
          <w:ilvl w:val="0"/>
          <w:numId w:val="24"/>
        </w:numPr>
        <w:autoSpaceDE w:val="0"/>
        <w:autoSpaceDN w:val="0"/>
        <w:bidi w:val="0"/>
        <w:adjustRightInd w:val="0"/>
        <w:spacing w:line="276" w:lineRule="auto"/>
        <w:jc w:val="both"/>
        <w:rPr>
          <w:rFonts w:ascii="Times New Roman" w:eastAsia="Calibri" w:hAnsi="Times New Roman" w:cs="Times New Roman"/>
          <w:sz w:val="24"/>
          <w:szCs w:val="24"/>
        </w:rPr>
      </w:pPr>
      <w:r w:rsidRPr="003742AB">
        <w:rPr>
          <w:rFonts w:ascii="Times New Roman" w:eastAsia="Calibri" w:hAnsi="Times New Roman" w:cs="Times New Roman"/>
          <w:sz w:val="24"/>
          <w:szCs w:val="24"/>
        </w:rPr>
        <w:t>A thorough study is required to comprehend the predisposing aspects and mechanism of action in order to assess and establish an effective treatment in such cases</w:t>
      </w:r>
      <w:r w:rsidRPr="003742AB">
        <w:rPr>
          <w:rFonts w:ascii="Times New Roman" w:eastAsia="Calibri" w:hAnsi="Times New Roman" w:cs="Times New Roman"/>
          <w:sz w:val="24"/>
          <w:szCs w:val="24"/>
          <w:rtl/>
        </w:rPr>
        <w:t>.</w:t>
      </w:r>
    </w:p>
    <w:p w14:paraId="49793518" w14:textId="2928DA3D" w:rsidR="003742AB" w:rsidRPr="003742AB" w:rsidRDefault="003742AB" w:rsidP="00686AC3">
      <w:pPr>
        <w:pStyle w:val="ListParagraph"/>
        <w:numPr>
          <w:ilvl w:val="0"/>
          <w:numId w:val="24"/>
        </w:numPr>
        <w:autoSpaceDE w:val="0"/>
        <w:autoSpaceDN w:val="0"/>
        <w:bidi w:val="0"/>
        <w:adjustRightInd w:val="0"/>
        <w:spacing w:line="276" w:lineRule="auto"/>
        <w:jc w:val="both"/>
        <w:rPr>
          <w:rFonts w:ascii="Times New Roman" w:eastAsia="Calibri" w:hAnsi="Times New Roman" w:cs="Times New Roman"/>
          <w:sz w:val="24"/>
          <w:szCs w:val="24"/>
        </w:rPr>
      </w:pPr>
      <w:r w:rsidRPr="003742AB">
        <w:rPr>
          <w:rFonts w:ascii="Times New Roman" w:eastAsia="Calibri" w:hAnsi="Times New Roman" w:cs="Times New Roman"/>
          <w:sz w:val="24"/>
          <w:szCs w:val="24"/>
        </w:rPr>
        <w:t>Treatment options should be widely available in hospitals</w:t>
      </w:r>
      <w:r w:rsidRPr="003742AB">
        <w:rPr>
          <w:rFonts w:ascii="Times New Roman" w:eastAsia="Calibri" w:hAnsi="Times New Roman" w:cs="Times New Roman"/>
          <w:sz w:val="24"/>
          <w:szCs w:val="24"/>
          <w:rtl/>
        </w:rPr>
        <w:t>.</w:t>
      </w:r>
    </w:p>
    <w:p w14:paraId="56DFF118" w14:textId="537EAB75" w:rsidR="003742AB" w:rsidRPr="003742AB" w:rsidRDefault="003742AB" w:rsidP="00686AC3">
      <w:pPr>
        <w:pStyle w:val="ListParagraph"/>
        <w:numPr>
          <w:ilvl w:val="0"/>
          <w:numId w:val="24"/>
        </w:numPr>
        <w:autoSpaceDE w:val="0"/>
        <w:autoSpaceDN w:val="0"/>
        <w:bidi w:val="0"/>
        <w:adjustRightInd w:val="0"/>
        <w:spacing w:line="276" w:lineRule="auto"/>
        <w:jc w:val="both"/>
        <w:rPr>
          <w:rFonts w:ascii="Times New Roman" w:eastAsia="Calibri" w:hAnsi="Times New Roman" w:cs="Times New Roman"/>
          <w:sz w:val="24"/>
          <w:szCs w:val="24"/>
        </w:rPr>
      </w:pPr>
      <w:r w:rsidRPr="003742AB">
        <w:rPr>
          <w:rFonts w:ascii="Times New Roman" w:eastAsia="Calibri" w:hAnsi="Times New Roman" w:cs="Times New Roman"/>
          <w:sz w:val="24"/>
          <w:szCs w:val="24"/>
        </w:rPr>
        <w:t>It should be illegal to store it or sell it, and only people with permission should be able to use, store, or sell it.</w:t>
      </w:r>
    </w:p>
    <w:p w14:paraId="469C98C5" w14:textId="3FDB307D" w:rsidR="00F36BC9" w:rsidRPr="003742AB" w:rsidRDefault="00F36BC9" w:rsidP="003742AB">
      <w:pPr>
        <w:bidi w:val="0"/>
        <w:spacing w:before="240" w:line="240" w:lineRule="auto"/>
        <w:contextualSpacing/>
        <w:jc w:val="center"/>
        <w:rPr>
          <w:rFonts w:ascii="Times New Roman" w:eastAsia="Times New Roman" w:hAnsi="Times New Roman" w:cs="Times New Roman"/>
          <w:b/>
          <w:bCs/>
          <w:sz w:val="28"/>
          <w:szCs w:val="28"/>
          <w:lang w:bidi="ar-EG"/>
        </w:rPr>
      </w:pPr>
      <w:r w:rsidRPr="003742AB">
        <w:rPr>
          <w:rFonts w:ascii="Times New Roman" w:eastAsia="Times New Roman" w:hAnsi="Times New Roman" w:cs="Times New Roman"/>
          <w:b/>
          <w:bCs/>
          <w:sz w:val="28"/>
          <w:szCs w:val="28"/>
          <w:lang w:bidi="ar-EG"/>
        </w:rPr>
        <w:t>CONFLICTS OF INTEREST</w:t>
      </w:r>
    </w:p>
    <w:p w14:paraId="08CF8C36" w14:textId="0E81227E" w:rsidR="00A9394D" w:rsidRPr="000C6DE4" w:rsidRDefault="00F36BC9" w:rsidP="000C6DE4">
      <w:pPr>
        <w:autoSpaceDE w:val="0"/>
        <w:autoSpaceDN w:val="0"/>
        <w:bidi w:val="0"/>
        <w:adjustRightInd w:val="0"/>
        <w:spacing w:line="240" w:lineRule="auto"/>
        <w:ind w:firstLine="720"/>
        <w:contextualSpacing/>
        <w:jc w:val="both"/>
        <w:rPr>
          <w:rFonts w:ascii="Times New Roman" w:eastAsia="Calibri" w:hAnsi="Times New Roman" w:cs="Times New Roman"/>
          <w:b/>
          <w:bCs/>
          <w:sz w:val="24"/>
          <w:szCs w:val="24"/>
        </w:rPr>
      </w:pPr>
      <w:r w:rsidRPr="00F36BC9">
        <w:rPr>
          <w:rFonts w:ascii="Times New Roman" w:eastAsia="Calibri" w:hAnsi="Times New Roman" w:cs="Times New Roman"/>
          <w:sz w:val="24"/>
          <w:szCs w:val="24"/>
        </w:rPr>
        <w:t>There are no conflicts of interest declared by the authors.</w:t>
      </w:r>
    </w:p>
    <w:p w14:paraId="1D42A18D" w14:textId="77777777" w:rsidR="00A9394D" w:rsidRPr="009864BB" w:rsidRDefault="00A9394D" w:rsidP="00046298">
      <w:pPr>
        <w:bidi w:val="0"/>
        <w:spacing w:before="240" w:line="360" w:lineRule="auto"/>
        <w:contextualSpacing/>
        <w:jc w:val="center"/>
        <w:rPr>
          <w:rFonts w:ascii="Times New Roman" w:eastAsia="Times New Roman" w:hAnsi="Times New Roman" w:cs="Times New Roman"/>
          <w:b/>
          <w:bCs/>
          <w:sz w:val="28"/>
          <w:szCs w:val="28"/>
          <w:lang w:bidi="ar-EG"/>
        </w:rPr>
      </w:pPr>
      <w:r w:rsidRPr="009864BB">
        <w:rPr>
          <w:rFonts w:ascii="Times New Roman" w:eastAsia="Times New Roman" w:hAnsi="Times New Roman" w:cs="Times New Roman"/>
          <w:b/>
          <w:bCs/>
          <w:sz w:val="28"/>
          <w:szCs w:val="28"/>
          <w:lang w:bidi="ar-EG"/>
        </w:rPr>
        <w:t>REFERENCE</w:t>
      </w:r>
    </w:p>
    <w:p w14:paraId="4C36CD68" w14:textId="5590168E" w:rsidR="00046298" w:rsidRDefault="00046298" w:rsidP="00046298">
      <w:pPr>
        <w:bidi w:val="0"/>
        <w:spacing w:after="0" w:line="276" w:lineRule="auto"/>
        <w:ind w:left="720" w:hanging="720"/>
        <w:jc w:val="both"/>
        <w:rPr>
          <w:rFonts w:ascii="Times New Roman" w:eastAsia="Times New Roman" w:hAnsi="Times New Roman" w:cs="Times New Roman"/>
          <w:sz w:val="24"/>
          <w:szCs w:val="24"/>
          <w:lang w:bidi="ar-EG"/>
        </w:rPr>
      </w:pPr>
      <w:bookmarkStart w:id="32" w:name="_Hlk105721546"/>
      <w:r w:rsidRPr="00B63913">
        <w:rPr>
          <w:rFonts w:ascii="Times New Roman" w:eastAsia="Times New Roman" w:hAnsi="Times New Roman" w:cs="Times New Roman"/>
          <w:b/>
          <w:bCs/>
          <w:i/>
          <w:iCs/>
          <w:sz w:val="24"/>
          <w:szCs w:val="24"/>
          <w:lang w:bidi="ar-EG"/>
        </w:rPr>
        <w:t>Abdel-Hady</w:t>
      </w:r>
      <w:bookmarkEnd w:id="32"/>
      <w:r w:rsidRPr="00B63913">
        <w:rPr>
          <w:rFonts w:ascii="Times New Roman" w:eastAsia="Times New Roman" w:hAnsi="Times New Roman" w:cs="Times New Roman"/>
          <w:b/>
          <w:bCs/>
          <w:i/>
          <w:iCs/>
          <w:sz w:val="24"/>
          <w:szCs w:val="24"/>
          <w:lang w:bidi="ar-EG"/>
        </w:rPr>
        <w:t xml:space="preserve"> </w:t>
      </w:r>
      <w:r w:rsidR="00E26946">
        <w:rPr>
          <w:rFonts w:ascii="Times New Roman" w:eastAsia="Times New Roman" w:hAnsi="Times New Roman" w:cs="Times New Roman"/>
          <w:b/>
          <w:bCs/>
          <w:i/>
          <w:iCs/>
          <w:sz w:val="24"/>
          <w:szCs w:val="24"/>
          <w:lang w:bidi="ar-EG"/>
        </w:rPr>
        <w:t>R.,</w:t>
      </w:r>
      <w:r w:rsidRPr="00B63913">
        <w:rPr>
          <w:rFonts w:ascii="Times New Roman" w:eastAsia="Times New Roman" w:hAnsi="Times New Roman" w:cs="Times New Roman"/>
          <w:b/>
          <w:bCs/>
          <w:i/>
          <w:iCs/>
          <w:sz w:val="24"/>
          <w:szCs w:val="24"/>
          <w:lang w:bidi="ar-EG"/>
        </w:rPr>
        <w:t xml:space="preserve"> Mohamed A</w:t>
      </w:r>
      <w:r w:rsidR="00E26946">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xml:space="preserve"> Khalifa M</w:t>
      </w:r>
      <w:r w:rsidR="00E26946">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xml:space="preserve"> &amp; Rahman K</w:t>
      </w:r>
      <w:r w:rsidR="00E26946">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xml:space="preserve"> (2019)</w:t>
      </w:r>
      <w:r w:rsidR="00E26946">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xml:space="preserve"> </w:t>
      </w:r>
      <w:r w:rsidRPr="00B63913">
        <w:rPr>
          <w:rFonts w:ascii="Times New Roman" w:eastAsia="Times New Roman" w:hAnsi="Times New Roman" w:cs="Times New Roman"/>
          <w:sz w:val="24"/>
          <w:szCs w:val="24"/>
          <w:lang w:bidi="ar-EG"/>
        </w:rPr>
        <w:t>Supportive Measures in the Treatment of Aluminum Phosphide Poisoning as a Trial to Reduce Mortality at Assiut University Hospital, Egypt. Arab Journal of Forensic Sciences &amp; Forensic Medicine. 1. 1210-1222. 10.26735/16586794.2019.008.</w:t>
      </w:r>
    </w:p>
    <w:p w14:paraId="1332C954" w14:textId="77777777" w:rsidR="00FC4462" w:rsidRPr="00F743FF" w:rsidRDefault="00FC4462" w:rsidP="00046298">
      <w:pPr>
        <w:bidi w:val="0"/>
        <w:spacing w:after="0" w:line="276" w:lineRule="auto"/>
        <w:jc w:val="both"/>
        <w:rPr>
          <w:rFonts w:ascii="Times New Roman" w:eastAsia="Times New Roman" w:hAnsi="Times New Roman" w:cs="Times New Roman"/>
          <w:sz w:val="24"/>
          <w:szCs w:val="24"/>
          <w:lang w:bidi="ar-EG"/>
        </w:rPr>
      </w:pPr>
    </w:p>
    <w:p w14:paraId="75CA7314" w14:textId="287518C3" w:rsidR="00FC4462" w:rsidRPr="00304AE3" w:rsidRDefault="00FC4462" w:rsidP="00304AE3">
      <w:pPr>
        <w:bidi w:val="0"/>
        <w:spacing w:line="276" w:lineRule="auto"/>
        <w:ind w:left="720" w:hanging="720"/>
        <w:jc w:val="both"/>
        <w:rPr>
          <w:rFonts w:ascii="Times New Roman" w:eastAsia="Times New Roman" w:hAnsi="Times New Roman" w:cs="Times New Roman"/>
          <w:sz w:val="24"/>
          <w:szCs w:val="24"/>
          <w:lang w:bidi="ar-EG"/>
        </w:rPr>
      </w:pPr>
      <w:r w:rsidRPr="00842D54">
        <w:rPr>
          <w:rFonts w:ascii="Times New Roman" w:eastAsia="Times New Roman" w:hAnsi="Times New Roman" w:cs="Times New Roman"/>
          <w:b/>
          <w:bCs/>
          <w:i/>
          <w:iCs/>
          <w:sz w:val="24"/>
          <w:szCs w:val="24"/>
          <w:lang w:bidi="ar-EG"/>
        </w:rPr>
        <w:t xml:space="preserve">Abdollahi, M. and Mehrpour, O. (2014): </w:t>
      </w:r>
      <w:r w:rsidRPr="00842D54">
        <w:rPr>
          <w:rFonts w:ascii="Times New Roman" w:eastAsia="Times New Roman" w:hAnsi="Times New Roman" w:cs="Times New Roman"/>
          <w:sz w:val="24"/>
          <w:szCs w:val="24"/>
          <w:lang w:bidi="ar-EG"/>
        </w:rPr>
        <w:t>Aluminum Phosphide. Encyclopedia of Toxicology, 3rd Edition, Elsevier Inc., Academic Press, pp. 164–166.</w:t>
      </w:r>
    </w:p>
    <w:p w14:paraId="08A1973A" w14:textId="0241116D" w:rsidR="00FC4462" w:rsidRDefault="00FC4462" w:rsidP="00FC4462">
      <w:pPr>
        <w:bidi w:val="0"/>
        <w:spacing w:after="0" w:line="276" w:lineRule="auto"/>
        <w:ind w:left="720" w:hanging="720"/>
        <w:jc w:val="both"/>
        <w:rPr>
          <w:rFonts w:ascii="Times New Roman" w:eastAsia="Times New Roman" w:hAnsi="Times New Roman" w:cs="Times New Roman"/>
          <w:sz w:val="24"/>
          <w:szCs w:val="24"/>
          <w:lang w:bidi="ar-EG"/>
        </w:rPr>
      </w:pPr>
      <w:r w:rsidRPr="00561928">
        <w:rPr>
          <w:rFonts w:ascii="Times New Roman" w:eastAsia="Times New Roman" w:hAnsi="Times New Roman" w:cs="Times New Roman"/>
          <w:b/>
          <w:bCs/>
          <w:i/>
          <w:iCs/>
          <w:sz w:val="24"/>
          <w:szCs w:val="24"/>
          <w:lang w:bidi="ar-EG"/>
        </w:rPr>
        <w:t>Bancroft JD and Gamble M {Eds.} (2008):</w:t>
      </w:r>
      <w:r w:rsidRPr="00561928">
        <w:rPr>
          <w:rFonts w:ascii="Times New Roman" w:eastAsia="Times New Roman" w:hAnsi="Times New Roman" w:cs="Times New Roman"/>
          <w:sz w:val="24"/>
          <w:szCs w:val="24"/>
          <w:lang w:bidi="ar-EG"/>
        </w:rPr>
        <w:t xml:space="preserve"> Fixatives. In: Theory and practice of histology techniques. 6</w:t>
      </w:r>
      <w:r w:rsidRPr="00561928">
        <w:rPr>
          <w:rFonts w:ascii="Times New Roman" w:eastAsia="Times New Roman" w:hAnsi="Times New Roman" w:cs="Times New Roman"/>
          <w:sz w:val="24"/>
          <w:szCs w:val="24"/>
          <w:vertAlign w:val="superscript"/>
          <w:lang w:bidi="ar-EG"/>
        </w:rPr>
        <w:t>th</w:t>
      </w:r>
      <w:r w:rsidRPr="00561928">
        <w:rPr>
          <w:rFonts w:ascii="Times New Roman" w:eastAsia="Times New Roman" w:hAnsi="Times New Roman" w:cs="Times New Roman"/>
          <w:sz w:val="24"/>
          <w:szCs w:val="24"/>
          <w:lang w:bidi="ar-EG"/>
        </w:rPr>
        <w:t xml:space="preserve"> ed., Churchill Livingstone, Elsevier, China, pp.72-75.</w:t>
      </w:r>
    </w:p>
    <w:p w14:paraId="1546345A" w14:textId="77777777" w:rsidR="0017291E" w:rsidRDefault="0017291E" w:rsidP="0017291E">
      <w:pPr>
        <w:bidi w:val="0"/>
        <w:spacing w:after="0" w:line="276" w:lineRule="auto"/>
        <w:ind w:left="720" w:hanging="720"/>
        <w:jc w:val="both"/>
        <w:rPr>
          <w:rFonts w:ascii="Times New Roman" w:eastAsia="Times New Roman" w:hAnsi="Times New Roman" w:cs="Times New Roman"/>
          <w:sz w:val="24"/>
          <w:szCs w:val="24"/>
          <w:lang w:bidi="ar-EG"/>
        </w:rPr>
      </w:pPr>
    </w:p>
    <w:p w14:paraId="432D2DC2" w14:textId="77777777" w:rsidR="00063493" w:rsidRPr="00063493" w:rsidRDefault="00063493" w:rsidP="00063493">
      <w:pPr>
        <w:bidi w:val="0"/>
        <w:spacing w:after="0" w:line="276" w:lineRule="auto"/>
        <w:ind w:left="720" w:hanging="720"/>
        <w:jc w:val="both"/>
        <w:rPr>
          <w:rFonts w:ascii="Times New Roman" w:eastAsia="Times New Roman" w:hAnsi="Times New Roman" w:cs="Times New Roman"/>
          <w:sz w:val="24"/>
          <w:szCs w:val="24"/>
          <w:rtl/>
        </w:rPr>
      </w:pPr>
      <w:bookmarkStart w:id="33" w:name="_Hlk105623248"/>
      <w:r w:rsidRPr="00063493">
        <w:rPr>
          <w:rFonts w:ascii="Times New Roman" w:eastAsia="Times New Roman" w:hAnsi="Times New Roman" w:cs="Times New Roman"/>
          <w:b/>
          <w:bCs/>
          <w:i/>
          <w:iCs/>
          <w:sz w:val="24"/>
          <w:szCs w:val="24"/>
          <w:lang w:bidi="ar-EG"/>
        </w:rPr>
        <w:t xml:space="preserve">Bumbrah G. S., Krishan K., Kanchan T., Sharma M., &amp; Sodhi G. S. (2012): </w:t>
      </w:r>
      <w:r w:rsidRPr="00063493">
        <w:rPr>
          <w:rFonts w:ascii="Times New Roman" w:eastAsia="Times New Roman" w:hAnsi="Times New Roman" w:cs="Times New Roman"/>
          <w:sz w:val="24"/>
          <w:szCs w:val="24"/>
          <w:lang w:bidi="ar-EG"/>
        </w:rPr>
        <w:t xml:space="preserve">Phosphide poisoning: a review of literature. Forensic science international, 214(1-3), 1–6. </w:t>
      </w:r>
      <w:hyperlink r:id="rId16" w:history="1">
        <w:r w:rsidRPr="00063493">
          <w:rPr>
            <w:rStyle w:val="Hyperlink"/>
            <w:rFonts w:ascii="Times New Roman" w:eastAsia="Times New Roman" w:hAnsi="Times New Roman" w:cs="Times New Roman"/>
            <w:sz w:val="24"/>
            <w:szCs w:val="24"/>
            <w:lang w:bidi="ar-EG"/>
          </w:rPr>
          <w:t>https://doi.org/10.1016/j.forsciint.2011.06.018</w:t>
        </w:r>
      </w:hyperlink>
    </w:p>
    <w:bookmarkEnd w:id="33"/>
    <w:p w14:paraId="7D198269" w14:textId="56ACF7FF" w:rsidR="00FC4462" w:rsidRDefault="00FC4462" w:rsidP="00063493">
      <w:pPr>
        <w:bidi w:val="0"/>
        <w:spacing w:after="0" w:line="276" w:lineRule="auto"/>
        <w:jc w:val="both"/>
        <w:rPr>
          <w:rFonts w:ascii="Times New Roman" w:eastAsia="Times New Roman" w:hAnsi="Times New Roman" w:cs="Times New Roman"/>
          <w:sz w:val="24"/>
          <w:szCs w:val="24"/>
          <w:lang w:bidi="ar-EG"/>
        </w:rPr>
      </w:pPr>
    </w:p>
    <w:p w14:paraId="0E7D5AC5" w14:textId="77777777" w:rsidR="00063493" w:rsidRPr="00063493" w:rsidRDefault="00063493" w:rsidP="00063493">
      <w:pPr>
        <w:bidi w:val="0"/>
        <w:spacing w:after="0" w:line="276" w:lineRule="auto"/>
        <w:ind w:left="720" w:hanging="720"/>
        <w:jc w:val="both"/>
        <w:rPr>
          <w:rFonts w:ascii="Times New Roman" w:eastAsia="Times New Roman" w:hAnsi="Times New Roman" w:cs="Times New Roman"/>
          <w:b/>
          <w:bCs/>
          <w:i/>
          <w:iCs/>
          <w:sz w:val="24"/>
          <w:szCs w:val="24"/>
          <w:lang w:bidi="ar-EG"/>
        </w:rPr>
      </w:pPr>
      <w:bookmarkStart w:id="34" w:name="_Hlk103386928"/>
      <w:r w:rsidRPr="00063493">
        <w:rPr>
          <w:rFonts w:ascii="Times New Roman" w:eastAsia="Times New Roman" w:hAnsi="Times New Roman" w:cs="Times New Roman"/>
          <w:b/>
          <w:bCs/>
          <w:i/>
          <w:iCs/>
          <w:sz w:val="24"/>
          <w:szCs w:val="24"/>
          <w:lang w:bidi="ar-EG"/>
        </w:rPr>
        <w:t xml:space="preserve">Changal K.H., Latief M., Parry M., Abbas F. (2017): </w:t>
      </w:r>
      <w:r w:rsidRPr="00063493">
        <w:rPr>
          <w:rFonts w:ascii="Times New Roman" w:eastAsia="Times New Roman" w:hAnsi="Times New Roman" w:cs="Times New Roman"/>
          <w:sz w:val="24"/>
          <w:szCs w:val="24"/>
          <w:lang w:bidi="ar-EG"/>
        </w:rPr>
        <w:t>Aluminium phosphide poisoning with severe cardiac dysfunction and the role of digoxin. BMJ Case Rep. 2017 Aug 11;2017: bcr2017220125. doi: 10.1136/bcr-2017-220125. PMID: 28801325; PMCID: PMC5614089.</w:t>
      </w:r>
    </w:p>
    <w:p w14:paraId="15C9F02D" w14:textId="3DC2AB29" w:rsidR="0017291E" w:rsidRDefault="0017291E" w:rsidP="0017291E">
      <w:pPr>
        <w:bidi w:val="0"/>
        <w:spacing w:after="0" w:line="276" w:lineRule="auto"/>
        <w:ind w:left="720" w:hanging="720"/>
        <w:jc w:val="both"/>
        <w:rPr>
          <w:rFonts w:ascii="Times New Roman" w:eastAsia="Times New Roman" w:hAnsi="Times New Roman" w:cs="Times New Roman"/>
          <w:sz w:val="24"/>
          <w:szCs w:val="24"/>
          <w:lang w:bidi="ar-EG"/>
        </w:rPr>
      </w:pPr>
      <w:r w:rsidRPr="00782CAF">
        <w:rPr>
          <w:rFonts w:ascii="Times New Roman" w:eastAsia="Times New Roman" w:hAnsi="Times New Roman" w:cs="Times New Roman"/>
          <w:b/>
          <w:bCs/>
          <w:i/>
          <w:iCs/>
          <w:sz w:val="24"/>
          <w:szCs w:val="24"/>
          <w:lang w:bidi="ar-EG"/>
        </w:rPr>
        <w:t>Gregorakos</w:t>
      </w:r>
      <w:bookmarkEnd w:id="34"/>
      <w:r w:rsidRPr="00782CAF">
        <w:rPr>
          <w:rFonts w:ascii="Times New Roman" w:eastAsia="Times New Roman" w:hAnsi="Times New Roman" w:cs="Times New Roman"/>
          <w:b/>
          <w:bCs/>
          <w:i/>
          <w:iCs/>
          <w:sz w:val="24"/>
          <w:szCs w:val="24"/>
          <w:lang w:bidi="ar-EG"/>
        </w:rPr>
        <w:t xml:space="preserve"> L., Sakayianni K. </w:t>
      </w:r>
      <w:r w:rsidR="00063493">
        <w:rPr>
          <w:rFonts w:ascii="Times New Roman" w:eastAsia="Times New Roman" w:hAnsi="Times New Roman" w:cs="Times New Roman"/>
          <w:b/>
          <w:bCs/>
          <w:i/>
          <w:iCs/>
          <w:sz w:val="24"/>
          <w:szCs w:val="24"/>
          <w:lang w:bidi="ar-EG"/>
        </w:rPr>
        <w:t xml:space="preserve">&amp; </w:t>
      </w:r>
      <w:r w:rsidRPr="00782CAF">
        <w:rPr>
          <w:rFonts w:ascii="Times New Roman" w:eastAsia="Times New Roman" w:hAnsi="Times New Roman" w:cs="Times New Roman"/>
          <w:b/>
          <w:bCs/>
          <w:i/>
          <w:iCs/>
          <w:sz w:val="24"/>
          <w:szCs w:val="24"/>
          <w:lang w:bidi="ar-EG"/>
        </w:rPr>
        <w:t xml:space="preserve">Harizopoulou, V. (2002): </w:t>
      </w:r>
      <w:r w:rsidRPr="00782CAF">
        <w:rPr>
          <w:rFonts w:ascii="Times New Roman" w:eastAsia="Times New Roman" w:hAnsi="Times New Roman" w:cs="Times New Roman"/>
          <w:sz w:val="24"/>
          <w:szCs w:val="24"/>
          <w:lang w:bidi="ar-EG"/>
        </w:rPr>
        <w:t>Recovery from severe inhalational phosphine poisoning. Report of two cases. Clinical Intensive Care, 13, 177–179.</w:t>
      </w:r>
    </w:p>
    <w:p w14:paraId="225B73FB" w14:textId="77777777" w:rsidR="0017291E" w:rsidRDefault="0017291E" w:rsidP="0017291E">
      <w:pPr>
        <w:bidi w:val="0"/>
        <w:spacing w:after="0" w:line="276" w:lineRule="auto"/>
        <w:ind w:left="720" w:hanging="720"/>
        <w:jc w:val="both"/>
        <w:rPr>
          <w:rFonts w:ascii="Times New Roman" w:eastAsia="Times New Roman" w:hAnsi="Times New Roman" w:cs="Times New Roman"/>
          <w:sz w:val="24"/>
          <w:szCs w:val="24"/>
          <w:lang w:bidi="ar-EG"/>
        </w:rPr>
      </w:pPr>
    </w:p>
    <w:p w14:paraId="7F0FA438" w14:textId="452FD259" w:rsidR="0017291E" w:rsidRPr="00782CAF" w:rsidRDefault="0017291E" w:rsidP="0017291E">
      <w:pPr>
        <w:bidi w:val="0"/>
        <w:spacing w:line="276" w:lineRule="auto"/>
        <w:ind w:left="720" w:hanging="720"/>
        <w:jc w:val="both"/>
        <w:rPr>
          <w:rFonts w:ascii="Times New Roman" w:eastAsia="Times New Roman" w:hAnsi="Times New Roman" w:cs="Times New Roman"/>
          <w:sz w:val="24"/>
          <w:szCs w:val="24"/>
          <w:lang w:bidi="ar-EG"/>
        </w:rPr>
      </w:pPr>
      <w:bookmarkStart w:id="35" w:name="_Hlk109857565"/>
      <w:r w:rsidRPr="00366F30">
        <w:rPr>
          <w:rFonts w:ascii="Times New Roman" w:eastAsia="Times New Roman" w:hAnsi="Times New Roman" w:cs="Times New Roman"/>
          <w:b/>
          <w:bCs/>
          <w:i/>
          <w:iCs/>
          <w:sz w:val="24"/>
          <w:szCs w:val="24"/>
          <w:lang w:bidi="ar-EG"/>
        </w:rPr>
        <w:t>Gunnell D</w:t>
      </w:r>
      <w:bookmarkEnd w:id="35"/>
      <w:r w:rsidR="00383A78">
        <w:rPr>
          <w:rFonts w:ascii="Times New Roman" w:eastAsia="Times New Roman" w:hAnsi="Times New Roman" w:cs="Times New Roman"/>
          <w:b/>
          <w:bCs/>
          <w:i/>
          <w:iCs/>
          <w:sz w:val="24"/>
          <w:szCs w:val="24"/>
          <w:lang w:bidi="ar-EG"/>
        </w:rPr>
        <w:t>.</w:t>
      </w:r>
      <w:r w:rsidRPr="00366F30">
        <w:rPr>
          <w:rFonts w:ascii="Times New Roman" w:eastAsia="Times New Roman" w:hAnsi="Times New Roman" w:cs="Times New Roman"/>
          <w:b/>
          <w:bCs/>
          <w:i/>
          <w:iCs/>
          <w:sz w:val="24"/>
          <w:szCs w:val="24"/>
          <w:lang w:bidi="ar-EG"/>
        </w:rPr>
        <w:t>, Eddleston M</w:t>
      </w:r>
      <w:r w:rsidR="00383A78">
        <w:rPr>
          <w:rFonts w:ascii="Times New Roman" w:eastAsia="Times New Roman" w:hAnsi="Times New Roman" w:cs="Times New Roman"/>
          <w:b/>
          <w:bCs/>
          <w:i/>
          <w:iCs/>
          <w:sz w:val="24"/>
          <w:szCs w:val="24"/>
          <w:lang w:bidi="ar-EG"/>
        </w:rPr>
        <w:t>.</w:t>
      </w:r>
      <w:r w:rsidRPr="00366F30">
        <w:rPr>
          <w:rFonts w:ascii="Times New Roman" w:eastAsia="Times New Roman" w:hAnsi="Times New Roman" w:cs="Times New Roman"/>
          <w:b/>
          <w:bCs/>
          <w:i/>
          <w:iCs/>
          <w:sz w:val="24"/>
          <w:szCs w:val="24"/>
          <w:lang w:bidi="ar-EG"/>
        </w:rPr>
        <w:t>, Phillips M</w:t>
      </w:r>
      <w:r w:rsidR="00383A78">
        <w:rPr>
          <w:rFonts w:ascii="Times New Roman" w:eastAsia="Times New Roman" w:hAnsi="Times New Roman" w:cs="Times New Roman"/>
          <w:b/>
          <w:bCs/>
          <w:i/>
          <w:iCs/>
          <w:sz w:val="24"/>
          <w:szCs w:val="24"/>
          <w:lang w:bidi="ar-EG"/>
        </w:rPr>
        <w:t>.</w:t>
      </w:r>
      <w:r w:rsidRPr="00366F30">
        <w:rPr>
          <w:rFonts w:ascii="Times New Roman" w:eastAsia="Times New Roman" w:hAnsi="Times New Roman" w:cs="Times New Roman"/>
          <w:b/>
          <w:bCs/>
          <w:i/>
          <w:iCs/>
          <w:sz w:val="24"/>
          <w:szCs w:val="24"/>
          <w:lang w:bidi="ar-EG"/>
        </w:rPr>
        <w:t>R</w:t>
      </w:r>
      <w:r w:rsidR="00383A78">
        <w:rPr>
          <w:rFonts w:ascii="Times New Roman" w:eastAsia="Times New Roman" w:hAnsi="Times New Roman" w:cs="Times New Roman"/>
          <w:b/>
          <w:bCs/>
          <w:i/>
          <w:iCs/>
          <w:sz w:val="24"/>
          <w:szCs w:val="24"/>
          <w:lang w:bidi="ar-EG"/>
        </w:rPr>
        <w:t xml:space="preserve">. &amp; </w:t>
      </w:r>
      <w:r w:rsidRPr="00366F30">
        <w:rPr>
          <w:rFonts w:ascii="Times New Roman" w:eastAsia="Times New Roman" w:hAnsi="Times New Roman" w:cs="Times New Roman"/>
          <w:b/>
          <w:bCs/>
          <w:i/>
          <w:iCs/>
          <w:sz w:val="24"/>
          <w:szCs w:val="24"/>
          <w:lang w:bidi="ar-EG"/>
        </w:rPr>
        <w:t xml:space="preserve">Konradsen F. </w:t>
      </w:r>
      <w:r w:rsidRPr="00F77FAE">
        <w:rPr>
          <w:rFonts w:ascii="Times New Roman" w:eastAsia="Times New Roman" w:hAnsi="Times New Roman" w:cs="Times New Roman"/>
          <w:b/>
          <w:bCs/>
          <w:i/>
          <w:iCs/>
          <w:sz w:val="24"/>
          <w:szCs w:val="24"/>
          <w:lang w:bidi="ar-EG"/>
        </w:rPr>
        <w:t>(2007):</w:t>
      </w:r>
      <w:r>
        <w:rPr>
          <w:rFonts w:ascii="Times New Roman" w:eastAsia="Times New Roman" w:hAnsi="Times New Roman" w:cs="Times New Roman"/>
          <w:sz w:val="24"/>
          <w:szCs w:val="24"/>
          <w:lang w:bidi="ar-EG"/>
        </w:rPr>
        <w:t xml:space="preserve"> </w:t>
      </w:r>
      <w:r w:rsidRPr="00366F30">
        <w:rPr>
          <w:rFonts w:ascii="Times New Roman" w:eastAsia="Times New Roman" w:hAnsi="Times New Roman" w:cs="Times New Roman"/>
          <w:sz w:val="24"/>
          <w:szCs w:val="24"/>
          <w:lang w:bidi="ar-EG"/>
        </w:rPr>
        <w:t>The global distribution of fatal pesticide self-poisoning: systematic review. BMC Public Health. 7:357. doi: 10.1186/1471-2458-7-357. PMID: 18154668; PMCID: PMC2262093.</w:t>
      </w:r>
    </w:p>
    <w:p w14:paraId="1F9AAC06" w14:textId="77777777" w:rsidR="00383A78" w:rsidRPr="00383A78" w:rsidRDefault="00383A78" w:rsidP="00383A78">
      <w:pPr>
        <w:bidi w:val="0"/>
        <w:spacing w:after="0" w:line="276" w:lineRule="auto"/>
        <w:ind w:left="720" w:hanging="720"/>
        <w:jc w:val="both"/>
        <w:rPr>
          <w:rFonts w:ascii="Times New Roman" w:eastAsia="Times New Roman" w:hAnsi="Times New Roman" w:cs="Times New Roman"/>
          <w:sz w:val="24"/>
          <w:szCs w:val="24"/>
          <w:lang w:bidi="ar-EG"/>
        </w:rPr>
      </w:pPr>
      <w:r w:rsidRPr="00383A78">
        <w:rPr>
          <w:rFonts w:ascii="Times New Roman" w:eastAsia="Times New Roman" w:hAnsi="Times New Roman" w:cs="Times New Roman"/>
          <w:b/>
          <w:bCs/>
          <w:i/>
          <w:iCs/>
          <w:sz w:val="24"/>
          <w:szCs w:val="24"/>
          <w:lang w:bidi="ar-EG"/>
        </w:rPr>
        <w:t xml:space="preserve">Hashemi-Domeneh B., Zamani N., Hassanian-Moghaddam H., Rahimi M., Shadnia S., Erfantalab P., &amp; Ostadi A. (2016): </w:t>
      </w:r>
      <w:r w:rsidRPr="00383A78">
        <w:rPr>
          <w:rFonts w:ascii="Times New Roman" w:eastAsia="Times New Roman" w:hAnsi="Times New Roman" w:cs="Times New Roman"/>
          <w:sz w:val="24"/>
          <w:szCs w:val="24"/>
          <w:lang w:bidi="ar-EG"/>
        </w:rPr>
        <w:t xml:space="preserve">A review of aluminium phosphide poisoning and a flowchart to treat it. Arhiv za :higijenu rada i toksikologiju, 67(3), 183–193. </w:t>
      </w:r>
      <w:hyperlink r:id="rId17" w:history="1">
        <w:r w:rsidRPr="00383A78">
          <w:rPr>
            <w:rStyle w:val="Hyperlink"/>
            <w:rFonts w:ascii="Times New Roman" w:eastAsia="Times New Roman" w:hAnsi="Times New Roman" w:cs="Times New Roman"/>
            <w:sz w:val="24"/>
            <w:szCs w:val="24"/>
            <w:lang w:bidi="ar-EG"/>
          </w:rPr>
          <w:t>https://doi.org/10.1515/aiht-2016-67-2784</w:t>
        </w:r>
      </w:hyperlink>
    </w:p>
    <w:p w14:paraId="14EAC6C6" w14:textId="77777777" w:rsidR="0017291E" w:rsidRDefault="0017291E" w:rsidP="00046298">
      <w:pPr>
        <w:bidi w:val="0"/>
        <w:spacing w:after="0" w:line="276" w:lineRule="auto"/>
        <w:jc w:val="both"/>
        <w:rPr>
          <w:rFonts w:ascii="Times New Roman" w:eastAsia="Times New Roman" w:hAnsi="Times New Roman" w:cs="Times New Roman"/>
          <w:sz w:val="24"/>
          <w:szCs w:val="24"/>
          <w:lang w:bidi="ar-EG"/>
        </w:rPr>
      </w:pPr>
    </w:p>
    <w:p w14:paraId="3CAF43AC" w14:textId="77777777" w:rsidR="00383A78" w:rsidRPr="00383A78" w:rsidRDefault="00383A78" w:rsidP="00383A78">
      <w:pPr>
        <w:bidi w:val="0"/>
        <w:spacing w:after="0" w:line="276" w:lineRule="auto"/>
        <w:ind w:left="720" w:hanging="720"/>
        <w:jc w:val="both"/>
        <w:rPr>
          <w:rFonts w:ascii="Times New Roman" w:eastAsia="Times New Roman" w:hAnsi="Times New Roman" w:cs="Times New Roman"/>
          <w:sz w:val="24"/>
          <w:szCs w:val="24"/>
          <w:lang w:bidi="ar-EG"/>
        </w:rPr>
      </w:pPr>
      <w:r w:rsidRPr="00383A78">
        <w:rPr>
          <w:rFonts w:ascii="Times New Roman" w:eastAsia="Times New Roman" w:hAnsi="Times New Roman" w:cs="Times New Roman"/>
          <w:b/>
          <w:bCs/>
          <w:i/>
          <w:iCs/>
          <w:sz w:val="24"/>
          <w:szCs w:val="24"/>
          <w:lang w:bidi="ar-EG"/>
        </w:rPr>
        <w:t xml:space="preserve">Hsu C. H., Chi B. C., Liu M. Y., Li J. H., Chen C. J., &amp; Chen R. Y. (2002): </w:t>
      </w:r>
      <w:r w:rsidRPr="00383A78">
        <w:rPr>
          <w:rFonts w:ascii="Times New Roman" w:eastAsia="Times New Roman" w:hAnsi="Times New Roman" w:cs="Times New Roman"/>
          <w:sz w:val="24"/>
          <w:szCs w:val="24"/>
          <w:lang w:bidi="ar-EG"/>
        </w:rPr>
        <w:t xml:space="preserve">Phosphine-induced oxidative damage in rats: role of glutathione. Toxicology, 179(1-2), 1–8. </w:t>
      </w:r>
      <w:hyperlink r:id="rId18" w:history="1">
        <w:r w:rsidRPr="00383A78">
          <w:rPr>
            <w:rStyle w:val="Hyperlink"/>
            <w:rFonts w:ascii="Times New Roman" w:eastAsia="Times New Roman" w:hAnsi="Times New Roman" w:cs="Times New Roman"/>
            <w:sz w:val="24"/>
            <w:szCs w:val="24"/>
            <w:lang w:bidi="ar-EG"/>
          </w:rPr>
          <w:t>https://doi.org/10.1016/s0300-483x(02)00246-9</w:t>
        </w:r>
      </w:hyperlink>
      <w:r w:rsidRPr="00383A78">
        <w:rPr>
          <w:rFonts w:ascii="Times New Roman" w:eastAsia="Times New Roman" w:hAnsi="Times New Roman" w:cs="Times New Roman"/>
          <w:sz w:val="24"/>
          <w:szCs w:val="24"/>
          <w:lang w:bidi="ar-EG"/>
        </w:rPr>
        <w:t>.</w:t>
      </w:r>
    </w:p>
    <w:p w14:paraId="0AB5B51A" w14:textId="77777777" w:rsidR="0017291E" w:rsidRDefault="0017291E" w:rsidP="0017291E">
      <w:pPr>
        <w:bidi w:val="0"/>
        <w:spacing w:after="0" w:line="276" w:lineRule="auto"/>
        <w:ind w:left="720" w:hanging="720"/>
        <w:jc w:val="both"/>
        <w:rPr>
          <w:rFonts w:ascii="Times New Roman" w:eastAsia="Times New Roman" w:hAnsi="Times New Roman" w:cs="Times New Roman"/>
          <w:sz w:val="24"/>
          <w:szCs w:val="24"/>
          <w:lang w:bidi="ar-EG"/>
        </w:rPr>
      </w:pPr>
    </w:p>
    <w:p w14:paraId="020E5F21" w14:textId="0A7DF6ED" w:rsidR="00046298" w:rsidRDefault="00383A78" w:rsidP="00304AE3">
      <w:pPr>
        <w:bidi w:val="0"/>
        <w:spacing w:line="276" w:lineRule="auto"/>
        <w:ind w:left="720" w:hanging="720"/>
        <w:jc w:val="both"/>
        <w:rPr>
          <w:rFonts w:ascii="Times New Roman" w:eastAsia="Times New Roman" w:hAnsi="Times New Roman" w:cs="Times New Roman"/>
          <w:sz w:val="24"/>
          <w:szCs w:val="24"/>
          <w:lang w:bidi="ar-EG"/>
        </w:rPr>
      </w:pPr>
      <w:r w:rsidRPr="00383A78">
        <w:rPr>
          <w:rFonts w:ascii="Times New Roman" w:eastAsia="Times New Roman" w:hAnsi="Times New Roman" w:cs="Times New Roman"/>
          <w:b/>
          <w:bCs/>
          <w:i/>
          <w:iCs/>
          <w:sz w:val="24"/>
          <w:szCs w:val="24"/>
          <w:lang w:bidi="ar-EG"/>
        </w:rPr>
        <w:t xml:space="preserve">Hugar B., Praveen S., Sh Hosahally J., Kainoor S. &amp; Shetty, A.R. (2014): </w:t>
      </w:r>
      <w:r w:rsidRPr="00383A78">
        <w:rPr>
          <w:rFonts w:ascii="Times New Roman" w:eastAsia="Times New Roman" w:hAnsi="Times New Roman" w:cs="Times New Roman"/>
          <w:sz w:val="24"/>
          <w:szCs w:val="24"/>
          <w:lang w:bidi="ar-EG"/>
        </w:rPr>
        <w:t>Gastrointestinal Hemorrhage in Aluminum Phosphide Poisoning. Journal of Forensic Sciences. 60. 10.1111/1556-4029.12588.</w:t>
      </w:r>
    </w:p>
    <w:p w14:paraId="1D76A982" w14:textId="321D58F4" w:rsidR="00304AE3" w:rsidRPr="00FC4462" w:rsidRDefault="00304AE3" w:rsidP="00304AE3">
      <w:pPr>
        <w:bidi w:val="0"/>
        <w:spacing w:line="276" w:lineRule="auto"/>
        <w:ind w:left="720" w:hanging="720"/>
        <w:jc w:val="both"/>
        <w:rPr>
          <w:rFonts w:ascii="Times New Roman" w:eastAsia="Times New Roman" w:hAnsi="Times New Roman" w:cs="Times New Roman"/>
          <w:sz w:val="24"/>
          <w:szCs w:val="24"/>
          <w:lang w:bidi="ar-EG"/>
        </w:rPr>
      </w:pPr>
      <w:r w:rsidRPr="00304AE3">
        <w:rPr>
          <w:rFonts w:ascii="Times New Roman" w:eastAsia="Times New Roman" w:hAnsi="Times New Roman" w:cs="Times New Roman"/>
          <w:b/>
          <w:bCs/>
          <w:i/>
          <w:iCs/>
          <w:sz w:val="24"/>
          <w:szCs w:val="24"/>
          <w:lang w:bidi="ar-EG"/>
        </w:rPr>
        <w:t xml:space="preserve">Jain A.K., Nigam M.K., Garg S., Dubey B.P., &amp; Arora A. (2005): </w:t>
      </w:r>
      <w:r w:rsidRPr="00304AE3">
        <w:rPr>
          <w:rFonts w:ascii="Times New Roman" w:eastAsia="Times New Roman" w:hAnsi="Times New Roman" w:cs="Times New Roman"/>
          <w:sz w:val="24"/>
          <w:szCs w:val="24"/>
          <w:lang w:bidi="ar-EG"/>
        </w:rPr>
        <w:t>ALUMINIUM PHOSPHIDE POISONING AUTOPSY FINDINGS. Journal of Indian Academy of Forensic Medicine, 27, 35-39.</w:t>
      </w:r>
    </w:p>
    <w:p w14:paraId="29BCD9DF" w14:textId="77777777" w:rsidR="00383A78" w:rsidRPr="00383A78" w:rsidRDefault="00383A78" w:rsidP="00383A78">
      <w:pPr>
        <w:bidi w:val="0"/>
        <w:spacing w:after="0" w:line="276" w:lineRule="auto"/>
        <w:ind w:left="720" w:hanging="720"/>
        <w:jc w:val="both"/>
        <w:rPr>
          <w:rFonts w:ascii="Times New Roman" w:eastAsia="Times New Roman" w:hAnsi="Times New Roman" w:cs="Times New Roman"/>
          <w:sz w:val="24"/>
          <w:szCs w:val="24"/>
          <w:lang w:bidi="ar-EG"/>
        </w:rPr>
      </w:pPr>
      <w:r w:rsidRPr="00383A78">
        <w:rPr>
          <w:rFonts w:ascii="Times New Roman" w:eastAsia="Times New Roman" w:hAnsi="Times New Roman" w:cs="Times New Roman"/>
          <w:b/>
          <w:bCs/>
          <w:i/>
          <w:iCs/>
          <w:sz w:val="24"/>
          <w:szCs w:val="24"/>
          <w:lang w:bidi="ar-EG"/>
        </w:rPr>
        <w:t xml:space="preserve">Kalawat S., Thakur V., Thakur A., &amp; Punjabi N. (2016): </w:t>
      </w:r>
      <w:r w:rsidRPr="00383A78">
        <w:rPr>
          <w:rFonts w:ascii="Times New Roman" w:eastAsia="Times New Roman" w:hAnsi="Times New Roman" w:cs="Times New Roman"/>
          <w:sz w:val="24"/>
          <w:szCs w:val="24"/>
          <w:lang w:bidi="ar-EG"/>
        </w:rPr>
        <w:t>Cardiovascular profile of aluminium phosphide poisoning and its clinical significance. International Journal of Advances In Medicine, 859-864. doi: 10.18203/2349-3933.ijam20163505.</w:t>
      </w:r>
    </w:p>
    <w:p w14:paraId="039ED7E2" w14:textId="77777777" w:rsidR="0017291E" w:rsidRPr="0017291E" w:rsidRDefault="0017291E" w:rsidP="0017291E">
      <w:pPr>
        <w:bidi w:val="0"/>
        <w:spacing w:after="0" w:line="276" w:lineRule="auto"/>
        <w:ind w:left="720" w:hanging="720"/>
        <w:jc w:val="both"/>
        <w:rPr>
          <w:rFonts w:ascii="Times New Roman" w:eastAsia="Times New Roman" w:hAnsi="Times New Roman" w:cs="Times New Roman"/>
          <w:sz w:val="24"/>
          <w:szCs w:val="24"/>
          <w:lang w:bidi="ar-EG"/>
        </w:rPr>
      </w:pPr>
    </w:p>
    <w:p w14:paraId="2B60F6A3" w14:textId="77777777" w:rsidR="00383A78" w:rsidRPr="00383A78" w:rsidRDefault="00383A78" w:rsidP="00383A78">
      <w:pPr>
        <w:bidi w:val="0"/>
        <w:spacing w:line="276" w:lineRule="auto"/>
        <w:ind w:left="720" w:hanging="720"/>
        <w:jc w:val="both"/>
        <w:rPr>
          <w:rFonts w:ascii="Times New Roman" w:eastAsia="Times New Roman" w:hAnsi="Times New Roman" w:cs="Times New Roman"/>
          <w:sz w:val="24"/>
          <w:szCs w:val="24"/>
          <w:lang w:bidi="ar-EG"/>
        </w:rPr>
      </w:pPr>
      <w:bookmarkStart w:id="36" w:name="_Hlk109707325"/>
      <w:bookmarkStart w:id="37" w:name="_Hlk110333589"/>
      <w:r w:rsidRPr="00383A78">
        <w:rPr>
          <w:rFonts w:ascii="Times New Roman" w:eastAsia="Times New Roman" w:hAnsi="Times New Roman" w:cs="Times New Roman"/>
          <w:b/>
          <w:bCs/>
          <w:i/>
          <w:iCs/>
          <w:sz w:val="24"/>
          <w:szCs w:val="24"/>
          <w:lang w:bidi="ar-EG"/>
        </w:rPr>
        <w:t xml:space="preserve">Kenza Z., Abdoulaye D., Dania S., Yasmina B., Sofia K., Khalid A., Amine A. Z. et al. (2021): </w:t>
      </w:r>
      <w:bookmarkEnd w:id="36"/>
      <w:r w:rsidRPr="00383A78">
        <w:rPr>
          <w:rFonts w:ascii="Times New Roman" w:eastAsia="Times New Roman" w:hAnsi="Times New Roman" w:cs="Times New Roman"/>
          <w:sz w:val="24"/>
          <w:szCs w:val="24"/>
          <w:lang w:bidi="ar-EG"/>
        </w:rPr>
        <w:t>Reversible Myocardial Injury Associated With Aluminum Phosphide Poisoning: Case Report. Sch J Med Case Rep, 9(5): 476-479.</w:t>
      </w:r>
    </w:p>
    <w:bookmarkEnd w:id="37"/>
    <w:p w14:paraId="1D979112" w14:textId="77777777" w:rsidR="00383A78" w:rsidRPr="00383A78" w:rsidRDefault="00383A78" w:rsidP="00383A78">
      <w:pPr>
        <w:bidi w:val="0"/>
        <w:spacing w:line="276" w:lineRule="auto"/>
        <w:ind w:left="720" w:hanging="720"/>
        <w:jc w:val="both"/>
        <w:rPr>
          <w:rFonts w:ascii="Times New Roman" w:eastAsia="Times New Roman" w:hAnsi="Times New Roman" w:cs="Times New Roman"/>
          <w:b/>
          <w:bCs/>
          <w:i/>
          <w:iCs/>
          <w:sz w:val="24"/>
          <w:szCs w:val="24"/>
          <w:lang w:bidi="ar-EG"/>
        </w:rPr>
      </w:pPr>
      <w:r w:rsidRPr="00383A78">
        <w:rPr>
          <w:rFonts w:ascii="Times New Roman" w:eastAsia="Times New Roman" w:hAnsi="Times New Roman" w:cs="Times New Roman"/>
          <w:b/>
          <w:bCs/>
          <w:i/>
          <w:iCs/>
          <w:sz w:val="24"/>
          <w:szCs w:val="24"/>
          <w:lang w:bidi="ar-EG"/>
        </w:rPr>
        <w:t xml:space="preserve">Liang Y., Tong F., Huang F., Liu Y., Zhu L., Le Grange J.M., He G. &amp; Zhou Y. (2020): </w:t>
      </w:r>
      <w:r w:rsidRPr="00383A78">
        <w:rPr>
          <w:rFonts w:ascii="Times New Roman" w:eastAsia="Times New Roman" w:hAnsi="Times New Roman" w:cs="Times New Roman"/>
          <w:sz w:val="24"/>
          <w:szCs w:val="24"/>
          <w:lang w:bidi="ar-EG"/>
        </w:rPr>
        <w:t>Pathological changes induced by phosphine poisoning: a study on 8 children. Int J Legal Med.;134(1):217-228. doi: 10.1007/s00414-019-02169-z. Epub 2019 Nov 11. PMID: 31713064.</w:t>
      </w:r>
    </w:p>
    <w:p w14:paraId="009D2BB6" w14:textId="35805157" w:rsidR="00F2736C" w:rsidRDefault="00F2736C" w:rsidP="00F2736C">
      <w:pPr>
        <w:bidi w:val="0"/>
        <w:spacing w:line="276" w:lineRule="auto"/>
        <w:ind w:left="720" w:hanging="720"/>
        <w:jc w:val="both"/>
        <w:rPr>
          <w:rFonts w:ascii="Times New Roman" w:eastAsia="Times New Roman" w:hAnsi="Times New Roman" w:cs="Times New Roman"/>
          <w:b/>
          <w:bCs/>
          <w:i/>
          <w:iCs/>
          <w:sz w:val="24"/>
          <w:szCs w:val="24"/>
          <w:lang w:bidi="ar-EG"/>
        </w:rPr>
      </w:pPr>
      <w:bookmarkStart w:id="38" w:name="_Hlk110335607"/>
      <w:bookmarkStart w:id="39" w:name="_Hlk109858296"/>
      <w:r w:rsidRPr="00F2736C">
        <w:rPr>
          <w:rFonts w:ascii="Times New Roman" w:eastAsia="Times New Roman" w:hAnsi="Times New Roman" w:cs="Times New Roman"/>
          <w:b/>
          <w:bCs/>
          <w:i/>
          <w:iCs/>
          <w:sz w:val="24"/>
          <w:szCs w:val="24"/>
          <w:lang w:bidi="ar-EG"/>
        </w:rPr>
        <w:t>Manoj K. P. &amp; Rohini</w:t>
      </w:r>
      <w:bookmarkEnd w:id="38"/>
      <w:r w:rsidRPr="00F2736C">
        <w:rPr>
          <w:rFonts w:ascii="Times New Roman" w:eastAsia="Times New Roman" w:hAnsi="Times New Roman" w:cs="Times New Roman"/>
          <w:b/>
          <w:bCs/>
          <w:i/>
          <w:iCs/>
          <w:sz w:val="24"/>
          <w:szCs w:val="24"/>
          <w:lang w:bidi="ar-EG"/>
        </w:rPr>
        <w:t xml:space="preserve"> M. (2020): Study of Renal Histopathology In Case of Celphos Poisoning by SEM. IAR J MED Sci; vol (1), iss-1. 10.47310/iarjms.2020.v01i05.003</w:t>
      </w:r>
    </w:p>
    <w:p w14:paraId="3A097C44" w14:textId="47180C50" w:rsidR="00CA0F9D" w:rsidRPr="00CA0F9D" w:rsidRDefault="00CA0F9D" w:rsidP="00F2736C">
      <w:pPr>
        <w:bidi w:val="0"/>
        <w:spacing w:line="276" w:lineRule="auto"/>
        <w:ind w:left="720" w:hanging="720"/>
        <w:jc w:val="both"/>
        <w:rPr>
          <w:rFonts w:ascii="Times New Roman" w:eastAsia="Times New Roman" w:hAnsi="Times New Roman" w:cs="Times New Roman"/>
          <w:sz w:val="24"/>
          <w:szCs w:val="24"/>
          <w:lang w:bidi="ar-EG"/>
        </w:rPr>
      </w:pPr>
      <w:r w:rsidRPr="00CA0F9D">
        <w:rPr>
          <w:rFonts w:ascii="Times New Roman" w:eastAsia="Times New Roman" w:hAnsi="Times New Roman" w:cs="Times New Roman"/>
          <w:b/>
          <w:bCs/>
          <w:i/>
          <w:iCs/>
          <w:sz w:val="24"/>
          <w:szCs w:val="24"/>
          <w:lang w:bidi="ar-EG"/>
        </w:rPr>
        <w:t xml:space="preserve">Mathai A., &amp; </w:t>
      </w:r>
      <w:bookmarkStart w:id="40" w:name="_Hlk114015218"/>
      <w:r w:rsidRPr="00CA0F9D">
        <w:rPr>
          <w:rFonts w:ascii="Times New Roman" w:eastAsia="Times New Roman" w:hAnsi="Times New Roman" w:cs="Times New Roman"/>
          <w:b/>
          <w:bCs/>
          <w:i/>
          <w:iCs/>
          <w:sz w:val="24"/>
          <w:szCs w:val="24"/>
          <w:lang w:bidi="ar-EG"/>
        </w:rPr>
        <w:t>Bhanu</w:t>
      </w:r>
      <w:bookmarkEnd w:id="40"/>
      <w:r w:rsidRPr="00CA0F9D">
        <w:rPr>
          <w:rFonts w:ascii="Times New Roman" w:eastAsia="Times New Roman" w:hAnsi="Times New Roman" w:cs="Times New Roman"/>
          <w:b/>
          <w:bCs/>
          <w:i/>
          <w:iCs/>
          <w:sz w:val="24"/>
          <w:szCs w:val="24"/>
          <w:lang w:bidi="ar-EG"/>
        </w:rPr>
        <w:t xml:space="preserve"> M. S. (2010): </w:t>
      </w:r>
      <w:r w:rsidRPr="00CA0F9D">
        <w:rPr>
          <w:rFonts w:ascii="Times New Roman" w:eastAsia="Times New Roman" w:hAnsi="Times New Roman" w:cs="Times New Roman"/>
          <w:sz w:val="24"/>
          <w:szCs w:val="24"/>
          <w:lang w:bidi="ar-EG"/>
        </w:rPr>
        <w:t xml:space="preserve">Acute aluminium phosphide poisoning: Can we predict mortality?. Indian journal of anaesthesia, 54(4), 302–307. </w:t>
      </w:r>
      <w:hyperlink r:id="rId19" w:history="1">
        <w:r w:rsidRPr="00CA0F9D">
          <w:rPr>
            <w:rStyle w:val="Hyperlink"/>
            <w:rFonts w:ascii="Times New Roman" w:eastAsia="Times New Roman" w:hAnsi="Times New Roman" w:cs="Times New Roman"/>
            <w:sz w:val="24"/>
            <w:szCs w:val="24"/>
            <w:lang w:bidi="ar-EG"/>
          </w:rPr>
          <w:t>https://doi.org/10.4103/0019-5049.68372</w:t>
        </w:r>
      </w:hyperlink>
    </w:p>
    <w:p w14:paraId="2A0DBD5F" w14:textId="77777777" w:rsidR="00CA0F9D" w:rsidRPr="00CA0F9D" w:rsidRDefault="00CA0F9D" w:rsidP="00CA0F9D">
      <w:pPr>
        <w:bidi w:val="0"/>
        <w:spacing w:line="276" w:lineRule="auto"/>
        <w:ind w:left="720" w:hanging="720"/>
        <w:jc w:val="both"/>
        <w:rPr>
          <w:rFonts w:ascii="Times New Roman" w:eastAsia="Times New Roman" w:hAnsi="Times New Roman" w:cs="Times New Roman"/>
          <w:sz w:val="24"/>
          <w:szCs w:val="24"/>
          <w:lang w:bidi="ar-EG"/>
        </w:rPr>
      </w:pPr>
      <w:bookmarkStart w:id="41" w:name="_Hlk110984582"/>
      <w:bookmarkEnd w:id="39"/>
      <w:r w:rsidRPr="00CA0F9D">
        <w:rPr>
          <w:rFonts w:ascii="Times New Roman" w:eastAsia="Times New Roman" w:hAnsi="Times New Roman" w:cs="Times New Roman"/>
          <w:b/>
          <w:bCs/>
          <w:i/>
          <w:iCs/>
          <w:sz w:val="24"/>
          <w:szCs w:val="24"/>
          <w:lang w:bidi="ar-EG"/>
        </w:rPr>
        <w:t xml:space="preserve">Meena M.C., Mittal S. &amp; Rani Y. (2015): </w:t>
      </w:r>
      <w:r w:rsidRPr="00CA0F9D">
        <w:rPr>
          <w:rFonts w:ascii="Times New Roman" w:eastAsia="Times New Roman" w:hAnsi="Times New Roman" w:cs="Times New Roman"/>
          <w:sz w:val="24"/>
          <w:szCs w:val="24"/>
          <w:lang w:bidi="ar-EG"/>
        </w:rPr>
        <w:t>Fatal aluminium phosphide poisoning. Interdiscip Toxicol. 2015 Jun;8(2):65-7. doi: 10.1515/intox-2015-0010. PMID: 27486362; PMCID: PMC4961899.</w:t>
      </w:r>
    </w:p>
    <w:p w14:paraId="67A82CA6" w14:textId="77777777" w:rsidR="00CA0F9D" w:rsidRPr="00CA0F9D" w:rsidRDefault="00CA0F9D" w:rsidP="00CA0F9D">
      <w:pPr>
        <w:bidi w:val="0"/>
        <w:spacing w:line="276" w:lineRule="auto"/>
        <w:ind w:left="720" w:hanging="720"/>
        <w:jc w:val="both"/>
        <w:rPr>
          <w:rFonts w:ascii="Times New Roman" w:eastAsia="Times New Roman" w:hAnsi="Times New Roman" w:cs="Times New Roman"/>
          <w:sz w:val="24"/>
          <w:szCs w:val="24"/>
          <w:lang w:bidi="ar-EG"/>
        </w:rPr>
      </w:pPr>
      <w:bookmarkStart w:id="42" w:name="_Hlk110431914"/>
      <w:bookmarkEnd w:id="41"/>
      <w:r w:rsidRPr="00CA0F9D">
        <w:rPr>
          <w:rFonts w:ascii="Times New Roman" w:eastAsia="Times New Roman" w:hAnsi="Times New Roman" w:cs="Times New Roman"/>
          <w:b/>
          <w:bCs/>
          <w:i/>
          <w:iCs/>
          <w:sz w:val="24"/>
          <w:szCs w:val="24"/>
          <w:lang w:bidi="ar-EG"/>
        </w:rPr>
        <w:t xml:space="preserve">Mehrpour O., Dolati M., Soltaninejad K., Shadnia S., &amp; Nazparvar B. (2008): </w:t>
      </w:r>
      <w:r w:rsidRPr="00CA0F9D">
        <w:rPr>
          <w:rFonts w:ascii="Times New Roman" w:eastAsia="Times New Roman" w:hAnsi="Times New Roman" w:cs="Times New Roman"/>
          <w:sz w:val="24"/>
          <w:szCs w:val="24"/>
          <w:lang w:bidi="ar-EG"/>
        </w:rPr>
        <w:t>Evaluation of Histopathological Changes in Fatal Aluminum Phosphide Poisoning. Journal of Forensic Medicine, 2, 34-36.</w:t>
      </w:r>
    </w:p>
    <w:p w14:paraId="78AD9BD3" w14:textId="63C87DBC" w:rsidR="00046298" w:rsidRPr="00366F30" w:rsidRDefault="00046298" w:rsidP="00046298">
      <w:pPr>
        <w:bidi w:val="0"/>
        <w:spacing w:line="276" w:lineRule="auto"/>
        <w:ind w:left="720" w:hanging="720"/>
        <w:jc w:val="both"/>
        <w:rPr>
          <w:rFonts w:ascii="Times New Roman" w:eastAsia="Times New Roman" w:hAnsi="Times New Roman" w:cs="Times New Roman"/>
          <w:sz w:val="24"/>
          <w:szCs w:val="24"/>
          <w:lang w:bidi="ar-EG"/>
        </w:rPr>
      </w:pPr>
      <w:r w:rsidRPr="00366F30">
        <w:rPr>
          <w:rFonts w:ascii="Times New Roman" w:eastAsia="Times New Roman" w:hAnsi="Times New Roman" w:cs="Times New Roman"/>
          <w:b/>
          <w:bCs/>
          <w:i/>
          <w:iCs/>
          <w:sz w:val="24"/>
          <w:szCs w:val="24"/>
          <w:lang w:bidi="ar-EG"/>
        </w:rPr>
        <w:t>Memiş</w:t>
      </w:r>
      <w:bookmarkEnd w:id="42"/>
      <w:r w:rsidRPr="00366F30">
        <w:rPr>
          <w:rFonts w:ascii="Times New Roman" w:eastAsia="Times New Roman" w:hAnsi="Times New Roman" w:cs="Times New Roman"/>
          <w:b/>
          <w:bCs/>
          <w:i/>
          <w:iCs/>
          <w:sz w:val="24"/>
          <w:szCs w:val="24"/>
          <w:lang w:bidi="ar-EG"/>
        </w:rPr>
        <w:t xml:space="preserve"> D., Tokatlıoglu</w:t>
      </w:r>
      <w:r w:rsidR="00CA0F9D">
        <w:rPr>
          <w:rFonts w:ascii="Times New Roman" w:eastAsia="Times New Roman" w:hAnsi="Times New Roman" w:cs="Times New Roman"/>
          <w:b/>
          <w:bCs/>
          <w:i/>
          <w:iCs/>
          <w:sz w:val="24"/>
          <w:szCs w:val="24"/>
          <w:lang w:bidi="ar-EG"/>
        </w:rPr>
        <w:t xml:space="preserve"> </w:t>
      </w:r>
      <w:r w:rsidRPr="00366F30">
        <w:rPr>
          <w:rFonts w:ascii="Times New Roman" w:eastAsia="Times New Roman" w:hAnsi="Times New Roman" w:cs="Times New Roman"/>
          <w:b/>
          <w:bCs/>
          <w:i/>
          <w:iCs/>
          <w:sz w:val="24"/>
          <w:szCs w:val="24"/>
          <w:lang w:bidi="ar-EG"/>
        </w:rPr>
        <w:t>D., Koyuncu O., &amp; Hekimoglu</w:t>
      </w:r>
      <w:r w:rsidR="00CA0F9D">
        <w:rPr>
          <w:rFonts w:ascii="Times New Roman" w:eastAsia="Times New Roman" w:hAnsi="Times New Roman" w:cs="Times New Roman"/>
          <w:b/>
          <w:bCs/>
          <w:i/>
          <w:iCs/>
          <w:sz w:val="24"/>
          <w:szCs w:val="24"/>
          <w:lang w:bidi="ar-EG"/>
        </w:rPr>
        <w:t xml:space="preserve"> </w:t>
      </w:r>
      <w:r w:rsidRPr="00366F30">
        <w:rPr>
          <w:rFonts w:ascii="Times New Roman" w:eastAsia="Times New Roman" w:hAnsi="Times New Roman" w:cs="Times New Roman"/>
          <w:b/>
          <w:bCs/>
          <w:i/>
          <w:iCs/>
          <w:sz w:val="24"/>
          <w:szCs w:val="24"/>
          <w:lang w:bidi="ar-EG"/>
        </w:rPr>
        <w:t>S. (2007)</w:t>
      </w:r>
      <w:r>
        <w:rPr>
          <w:rFonts w:ascii="Times New Roman" w:eastAsia="Times New Roman" w:hAnsi="Times New Roman" w:cs="Times New Roman"/>
          <w:b/>
          <w:bCs/>
          <w:i/>
          <w:iCs/>
          <w:sz w:val="24"/>
          <w:szCs w:val="24"/>
          <w:lang w:bidi="ar-EG"/>
        </w:rPr>
        <w:t>:</w:t>
      </w:r>
      <w:r w:rsidRPr="00366F30">
        <w:rPr>
          <w:rFonts w:ascii="Times New Roman" w:eastAsia="Times New Roman" w:hAnsi="Times New Roman" w:cs="Times New Roman"/>
          <w:sz w:val="24"/>
          <w:szCs w:val="24"/>
          <w:lang w:bidi="ar-EG"/>
        </w:rPr>
        <w:t xml:space="preserve"> Fatal aluminium phosphide poisoning. European Journal of Anaesthesiology, 24(3), 292-293. doi:10.1017/S0265021506001451</w:t>
      </w:r>
      <w:r>
        <w:rPr>
          <w:rFonts w:ascii="Times New Roman" w:eastAsia="Times New Roman" w:hAnsi="Times New Roman" w:cs="Times New Roman"/>
          <w:sz w:val="24"/>
          <w:szCs w:val="24"/>
          <w:lang w:bidi="ar-EG"/>
        </w:rPr>
        <w:t>.</w:t>
      </w:r>
    </w:p>
    <w:p w14:paraId="4D72D4F8" w14:textId="13DA1E7D" w:rsidR="00046298" w:rsidRPr="00F2736C" w:rsidRDefault="00046298" w:rsidP="00F2736C">
      <w:pPr>
        <w:bidi w:val="0"/>
        <w:spacing w:line="276" w:lineRule="auto"/>
        <w:ind w:left="720" w:hanging="720"/>
        <w:jc w:val="both"/>
        <w:rPr>
          <w:rFonts w:ascii="Times New Roman" w:eastAsia="Times New Roman" w:hAnsi="Times New Roman" w:cs="Times New Roman"/>
          <w:sz w:val="24"/>
          <w:szCs w:val="24"/>
          <w:lang w:bidi="ar-EG"/>
        </w:rPr>
      </w:pPr>
      <w:bookmarkStart w:id="43" w:name="_Hlk110986744"/>
      <w:r w:rsidRPr="00366F30">
        <w:rPr>
          <w:rFonts w:ascii="Times New Roman" w:eastAsia="Times New Roman" w:hAnsi="Times New Roman" w:cs="Times New Roman"/>
          <w:b/>
          <w:bCs/>
          <w:i/>
          <w:iCs/>
          <w:sz w:val="24"/>
          <w:szCs w:val="24"/>
          <w:lang w:bidi="ar-EG"/>
        </w:rPr>
        <w:t>Moghadamnia AA (2012)</w:t>
      </w:r>
      <w:r w:rsidRPr="006F2890">
        <w:rPr>
          <w:rFonts w:ascii="Times New Roman" w:eastAsia="Times New Roman" w:hAnsi="Times New Roman" w:cs="Times New Roman"/>
          <w:b/>
          <w:bCs/>
          <w:i/>
          <w:iCs/>
          <w:sz w:val="24"/>
          <w:szCs w:val="24"/>
          <w:lang w:bidi="ar-EG"/>
        </w:rPr>
        <w:t>:</w:t>
      </w:r>
      <w:r w:rsidRPr="00366F30">
        <w:rPr>
          <w:rFonts w:ascii="Times New Roman" w:eastAsia="Times New Roman" w:hAnsi="Times New Roman" w:cs="Times New Roman"/>
          <w:sz w:val="24"/>
          <w:szCs w:val="24"/>
          <w:lang w:bidi="ar-EG"/>
        </w:rPr>
        <w:t xml:space="preserve"> </w:t>
      </w:r>
      <w:bookmarkEnd w:id="43"/>
      <w:r w:rsidRPr="00366F30">
        <w:rPr>
          <w:rFonts w:ascii="Times New Roman" w:eastAsia="Times New Roman" w:hAnsi="Times New Roman" w:cs="Times New Roman"/>
          <w:sz w:val="24"/>
          <w:szCs w:val="24"/>
          <w:lang w:bidi="ar-EG"/>
        </w:rPr>
        <w:t xml:space="preserve">An update on toxicology of aluminum phosphide. Daru 20:25. </w:t>
      </w:r>
      <w:hyperlink r:id="rId20" w:history="1">
        <w:r w:rsidRPr="00366F30">
          <w:rPr>
            <w:rFonts w:ascii="Times New Roman" w:eastAsia="Times New Roman" w:hAnsi="Times New Roman" w:cs="Times New Roman"/>
            <w:sz w:val="24"/>
            <w:szCs w:val="24"/>
            <w:lang w:bidi="ar-EG"/>
          </w:rPr>
          <w:t>https://doi.org/10.1186/2008-2231-20-25</w:t>
        </w:r>
      </w:hyperlink>
    </w:p>
    <w:p w14:paraId="79E17C10" w14:textId="6B701D11" w:rsidR="00B63913" w:rsidRDefault="00E32EF9" w:rsidP="00F2736C">
      <w:pPr>
        <w:bidi w:val="0"/>
        <w:spacing w:line="276" w:lineRule="auto"/>
        <w:ind w:left="720" w:hanging="720"/>
        <w:jc w:val="both"/>
        <w:rPr>
          <w:rFonts w:ascii="Times New Roman" w:eastAsia="Times New Roman" w:hAnsi="Times New Roman" w:cs="Times New Roman"/>
          <w:sz w:val="24"/>
          <w:szCs w:val="24"/>
          <w:lang w:bidi="ar-EG"/>
        </w:rPr>
      </w:pPr>
      <w:r w:rsidRPr="00E32EF9">
        <w:rPr>
          <w:rFonts w:ascii="Times New Roman" w:eastAsia="Times New Roman" w:hAnsi="Times New Roman" w:cs="Times New Roman"/>
          <w:b/>
          <w:bCs/>
          <w:i/>
          <w:iCs/>
          <w:sz w:val="24"/>
          <w:szCs w:val="24"/>
          <w:lang w:bidi="ar-EG"/>
        </w:rPr>
        <w:t xml:space="preserve">Mwaheb, M. &amp; Hassan S. (2020): </w:t>
      </w:r>
      <w:r w:rsidRPr="00E32EF9">
        <w:rPr>
          <w:rFonts w:ascii="Times New Roman" w:eastAsia="Times New Roman" w:hAnsi="Times New Roman" w:cs="Times New Roman"/>
          <w:sz w:val="24"/>
          <w:szCs w:val="24"/>
          <w:lang w:bidi="ar-EG"/>
        </w:rPr>
        <w:t>Fatal Aluminium Phosphide poisoning in Fayoum Governorate, Egypt (2012-2019). The Egyptian Journal of Forensic Sciences and Applied Toxicology. 21. 10.21608/ejfsat.2020.28015.1141.</w:t>
      </w:r>
    </w:p>
    <w:p w14:paraId="1A37D199" w14:textId="46C5D31D" w:rsidR="00304AE3" w:rsidRPr="00304AE3" w:rsidRDefault="00304AE3" w:rsidP="00304AE3">
      <w:pPr>
        <w:bidi w:val="0"/>
        <w:spacing w:line="276" w:lineRule="auto"/>
        <w:ind w:left="720" w:hanging="720"/>
        <w:jc w:val="both"/>
        <w:rPr>
          <w:rFonts w:ascii="Times New Roman" w:eastAsia="Times New Roman" w:hAnsi="Times New Roman" w:cs="Times New Roman"/>
          <w:sz w:val="24"/>
          <w:szCs w:val="24"/>
          <w:lang w:bidi="ar-EG"/>
        </w:rPr>
      </w:pPr>
      <w:bookmarkStart w:id="44" w:name="_Hlk113374233"/>
      <w:r w:rsidRPr="00304AE3">
        <w:rPr>
          <w:rFonts w:ascii="Times New Roman" w:eastAsia="Times New Roman" w:hAnsi="Times New Roman" w:cs="Times New Roman"/>
          <w:b/>
          <w:bCs/>
          <w:i/>
          <w:iCs/>
          <w:sz w:val="24"/>
          <w:szCs w:val="24"/>
          <w:lang w:bidi="ar-EG"/>
        </w:rPr>
        <w:t>Saleh A. &amp; Makhlof</w:t>
      </w:r>
      <w:bookmarkEnd w:id="44"/>
      <w:r w:rsidRPr="00304AE3">
        <w:rPr>
          <w:rFonts w:ascii="Times New Roman" w:eastAsia="Times New Roman" w:hAnsi="Times New Roman" w:cs="Times New Roman"/>
          <w:b/>
          <w:bCs/>
          <w:i/>
          <w:iCs/>
          <w:sz w:val="24"/>
          <w:szCs w:val="24"/>
          <w:lang w:bidi="ar-EG"/>
        </w:rPr>
        <w:t xml:space="preserve"> M. (2018): </w:t>
      </w:r>
      <w:r w:rsidRPr="00304AE3">
        <w:rPr>
          <w:rFonts w:ascii="Times New Roman" w:eastAsia="Times New Roman" w:hAnsi="Times New Roman" w:cs="Times New Roman"/>
          <w:sz w:val="24"/>
          <w:szCs w:val="24"/>
          <w:lang w:bidi="ar-EG"/>
        </w:rPr>
        <w:t>Outcome of Toxicity and Mortality Predictors Of Aluminum Phosphide Poisoning In Fayoum Governorate, Egypt. Zagazig Journal of Forensic Medicine, 16(2), 40-52. doi: 10.21608/zjfm.2018.6009.1019</w:t>
      </w:r>
    </w:p>
    <w:p w14:paraId="70A2AE55" w14:textId="72574D27" w:rsidR="00366F30" w:rsidRDefault="00366F30" w:rsidP="00304AE3">
      <w:pPr>
        <w:bidi w:val="0"/>
        <w:spacing w:line="276" w:lineRule="auto"/>
        <w:ind w:left="720" w:hanging="720"/>
        <w:jc w:val="both"/>
        <w:rPr>
          <w:rFonts w:ascii="Times New Roman" w:eastAsia="Times New Roman" w:hAnsi="Times New Roman" w:cs="Times New Roman"/>
          <w:sz w:val="24"/>
          <w:szCs w:val="24"/>
          <w:lang w:bidi="ar-EG"/>
        </w:rPr>
      </w:pPr>
      <w:r w:rsidRPr="00366F30">
        <w:rPr>
          <w:rFonts w:ascii="Times New Roman" w:eastAsia="Times New Roman" w:hAnsi="Times New Roman" w:cs="Times New Roman"/>
          <w:b/>
          <w:bCs/>
          <w:i/>
          <w:iCs/>
          <w:sz w:val="24"/>
          <w:szCs w:val="24"/>
          <w:lang w:bidi="ar-EG"/>
        </w:rPr>
        <w:t>Shah V</w:t>
      </w:r>
      <w:r w:rsidR="00E32EF9">
        <w:rPr>
          <w:rFonts w:ascii="Times New Roman" w:eastAsia="Times New Roman" w:hAnsi="Times New Roman" w:cs="Times New Roman"/>
          <w:b/>
          <w:bCs/>
          <w:i/>
          <w:iCs/>
          <w:sz w:val="24"/>
          <w:szCs w:val="24"/>
          <w:lang w:bidi="ar-EG"/>
        </w:rPr>
        <w:t>.</w:t>
      </w:r>
      <w:r w:rsidRPr="00366F30">
        <w:rPr>
          <w:rFonts w:ascii="Times New Roman" w:eastAsia="Times New Roman" w:hAnsi="Times New Roman" w:cs="Times New Roman"/>
          <w:b/>
          <w:bCs/>
          <w:i/>
          <w:iCs/>
          <w:sz w:val="24"/>
          <w:szCs w:val="24"/>
          <w:lang w:bidi="ar-EG"/>
        </w:rPr>
        <w:t xml:space="preserve"> Baxi S</w:t>
      </w:r>
      <w:r w:rsidR="00E32EF9">
        <w:rPr>
          <w:rFonts w:ascii="Times New Roman" w:eastAsia="Times New Roman" w:hAnsi="Times New Roman" w:cs="Times New Roman"/>
          <w:b/>
          <w:bCs/>
          <w:i/>
          <w:iCs/>
          <w:sz w:val="24"/>
          <w:szCs w:val="24"/>
          <w:lang w:bidi="ar-EG"/>
        </w:rPr>
        <w:t>. &amp;</w:t>
      </w:r>
      <w:r w:rsidRPr="00366F30">
        <w:rPr>
          <w:rFonts w:ascii="Times New Roman" w:eastAsia="Times New Roman" w:hAnsi="Times New Roman" w:cs="Times New Roman"/>
          <w:b/>
          <w:bCs/>
          <w:i/>
          <w:iCs/>
          <w:sz w:val="24"/>
          <w:szCs w:val="24"/>
          <w:lang w:bidi="ar-EG"/>
        </w:rPr>
        <w:t xml:space="preserve"> Vyas T. </w:t>
      </w:r>
      <w:r w:rsidR="006F2890" w:rsidRPr="006F2890">
        <w:rPr>
          <w:rFonts w:ascii="Times New Roman" w:eastAsia="Times New Roman" w:hAnsi="Times New Roman" w:cs="Times New Roman"/>
          <w:b/>
          <w:bCs/>
          <w:i/>
          <w:iCs/>
          <w:sz w:val="24"/>
          <w:szCs w:val="24"/>
          <w:lang w:bidi="ar-EG"/>
        </w:rPr>
        <w:t>(2009):</w:t>
      </w:r>
      <w:r w:rsidR="006F2890">
        <w:rPr>
          <w:rFonts w:ascii="Times New Roman" w:eastAsia="Times New Roman" w:hAnsi="Times New Roman" w:cs="Times New Roman"/>
          <w:sz w:val="24"/>
          <w:szCs w:val="24"/>
          <w:lang w:bidi="ar-EG"/>
        </w:rPr>
        <w:t xml:space="preserve"> </w:t>
      </w:r>
      <w:r w:rsidRPr="00366F30">
        <w:rPr>
          <w:rFonts w:ascii="Times New Roman" w:eastAsia="Times New Roman" w:hAnsi="Times New Roman" w:cs="Times New Roman"/>
          <w:sz w:val="24"/>
          <w:szCs w:val="24"/>
          <w:lang w:bidi="ar-EG"/>
        </w:rPr>
        <w:t xml:space="preserve">Severe myocardial depression in a patient with aluminium phosphide poisoning: a clinical, electrocardiographical and histopathological correlation. Indian Journal of Critical Care </w:t>
      </w:r>
      <w:r w:rsidR="00F77FAE" w:rsidRPr="00366F30">
        <w:rPr>
          <w:rFonts w:ascii="Times New Roman" w:eastAsia="Times New Roman" w:hAnsi="Times New Roman" w:cs="Times New Roman"/>
          <w:sz w:val="24"/>
          <w:szCs w:val="24"/>
          <w:lang w:bidi="ar-EG"/>
        </w:rPr>
        <w:t>Medicine:</w:t>
      </w:r>
      <w:r w:rsidRPr="00366F30">
        <w:rPr>
          <w:rFonts w:ascii="Times New Roman" w:eastAsia="Times New Roman" w:hAnsi="Times New Roman" w:cs="Times New Roman"/>
          <w:sz w:val="24"/>
          <w:szCs w:val="24"/>
          <w:lang w:bidi="ar-EG"/>
        </w:rPr>
        <w:t xml:space="preserve"> Peer-reviewed, Official Publication of Indian Society of Critical Care Medicine. 13(1):41-43. </w:t>
      </w:r>
    </w:p>
    <w:p w14:paraId="45A4767E" w14:textId="545D217A" w:rsidR="00F2736C" w:rsidRPr="00366F30" w:rsidRDefault="00F2736C" w:rsidP="00F2736C">
      <w:pPr>
        <w:bidi w:val="0"/>
        <w:spacing w:line="276" w:lineRule="auto"/>
        <w:ind w:left="720" w:hanging="720"/>
        <w:jc w:val="both"/>
        <w:rPr>
          <w:rFonts w:ascii="Times New Roman" w:eastAsia="Times New Roman" w:hAnsi="Times New Roman" w:cs="Times New Roman"/>
          <w:sz w:val="24"/>
          <w:szCs w:val="24"/>
          <w:lang w:bidi="ar-EG"/>
        </w:rPr>
      </w:pPr>
      <w:r w:rsidRPr="00F2736C">
        <w:rPr>
          <w:rFonts w:ascii="Times New Roman" w:eastAsia="Times New Roman" w:hAnsi="Times New Roman" w:cs="Times New Roman"/>
          <w:b/>
          <w:bCs/>
          <w:i/>
          <w:iCs/>
          <w:sz w:val="24"/>
          <w:szCs w:val="24"/>
          <w:lang w:bidi="ar-EG"/>
        </w:rPr>
        <w:t xml:space="preserve">Shaheen M.A., Murrad Z. &amp; M. M. M. Z. B. (2018): </w:t>
      </w:r>
      <w:r w:rsidRPr="00F2736C">
        <w:rPr>
          <w:rFonts w:ascii="Times New Roman" w:eastAsia="Times New Roman" w:hAnsi="Times New Roman" w:cs="Times New Roman"/>
          <w:sz w:val="24"/>
          <w:szCs w:val="24"/>
          <w:lang w:bidi="ar-EG"/>
        </w:rPr>
        <w:t>Pattern of Aluminium Phosphide Poisoning and Autopsy Findingsat KEMU Lahore. Journal of Fatima Jinnah Medical University, 5(3). Retrieved from https://jfjmu.com/index.php/ojs/article/view/282.</w:t>
      </w:r>
    </w:p>
    <w:p w14:paraId="4B820DB7" w14:textId="196C7D21" w:rsidR="00046298" w:rsidRDefault="00046298" w:rsidP="00046298">
      <w:pPr>
        <w:bidi w:val="0"/>
        <w:spacing w:after="0" w:line="276" w:lineRule="auto"/>
        <w:ind w:left="720" w:hanging="720"/>
        <w:jc w:val="both"/>
        <w:rPr>
          <w:rFonts w:ascii="Times New Roman" w:eastAsia="Times New Roman" w:hAnsi="Times New Roman" w:cs="Times New Roman"/>
          <w:sz w:val="24"/>
          <w:szCs w:val="24"/>
          <w:lang w:bidi="ar-EG"/>
        </w:rPr>
      </w:pPr>
      <w:r w:rsidRPr="00B63913">
        <w:rPr>
          <w:rFonts w:ascii="Times New Roman" w:eastAsia="Times New Roman" w:hAnsi="Times New Roman" w:cs="Times New Roman"/>
          <w:b/>
          <w:bCs/>
          <w:i/>
          <w:iCs/>
          <w:sz w:val="24"/>
          <w:szCs w:val="24"/>
          <w:lang w:bidi="ar-EG"/>
        </w:rPr>
        <w:t>Sheta A</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A</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El-Banna A</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S</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Elmeguid R</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A</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 Mohamed H</w:t>
      </w:r>
      <w:r w:rsidR="00E32EF9">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E</w:t>
      </w:r>
      <w:r w:rsidR="00E32EF9">
        <w:rPr>
          <w:rFonts w:ascii="Times New Roman" w:eastAsia="Times New Roman" w:hAnsi="Times New Roman" w:cs="Times New Roman"/>
          <w:b/>
          <w:bCs/>
          <w:i/>
          <w:iCs/>
          <w:sz w:val="24"/>
          <w:szCs w:val="24"/>
          <w:lang w:bidi="ar-EG"/>
        </w:rPr>
        <w:t xml:space="preserve">. &amp; </w:t>
      </w:r>
      <w:r w:rsidRPr="00B63913">
        <w:rPr>
          <w:rFonts w:ascii="Times New Roman" w:eastAsia="Times New Roman" w:hAnsi="Times New Roman" w:cs="Times New Roman"/>
          <w:b/>
          <w:bCs/>
          <w:i/>
          <w:iCs/>
          <w:sz w:val="24"/>
          <w:szCs w:val="24"/>
          <w:lang w:bidi="ar-EG"/>
        </w:rPr>
        <w:t>Gad N</w:t>
      </w:r>
      <w:r w:rsidR="00431ECA">
        <w:rPr>
          <w:rFonts w:ascii="Times New Roman" w:eastAsia="Times New Roman" w:hAnsi="Times New Roman" w:cs="Times New Roman"/>
          <w:b/>
          <w:bCs/>
          <w:i/>
          <w:iCs/>
          <w:sz w:val="24"/>
          <w:szCs w:val="24"/>
          <w:lang w:bidi="ar-EG"/>
        </w:rPr>
        <w:t>.</w:t>
      </w:r>
      <w:r w:rsidRPr="00B63913">
        <w:rPr>
          <w:rFonts w:ascii="Times New Roman" w:eastAsia="Times New Roman" w:hAnsi="Times New Roman" w:cs="Times New Roman"/>
          <w:b/>
          <w:bCs/>
          <w:i/>
          <w:iCs/>
          <w:sz w:val="24"/>
          <w:szCs w:val="24"/>
          <w:lang w:bidi="ar-EG"/>
        </w:rPr>
        <w:t>H.</w:t>
      </w:r>
      <w:r>
        <w:rPr>
          <w:rFonts w:ascii="Times New Roman" w:eastAsia="Times New Roman" w:hAnsi="Times New Roman" w:cs="Times New Roman"/>
          <w:b/>
          <w:bCs/>
          <w:i/>
          <w:iCs/>
          <w:sz w:val="24"/>
          <w:szCs w:val="24"/>
          <w:lang w:bidi="ar-EG"/>
        </w:rPr>
        <w:t xml:space="preserve"> (2019):</w:t>
      </w:r>
      <w:r w:rsidRPr="00B63913">
        <w:rPr>
          <w:rFonts w:ascii="Times New Roman" w:eastAsia="Times New Roman" w:hAnsi="Times New Roman" w:cs="Times New Roman"/>
          <w:b/>
          <w:bCs/>
          <w:i/>
          <w:iCs/>
          <w:sz w:val="24"/>
          <w:szCs w:val="24"/>
          <w:lang w:bidi="ar-EG"/>
        </w:rPr>
        <w:t xml:space="preserve"> </w:t>
      </w:r>
      <w:r w:rsidRPr="00B63913">
        <w:rPr>
          <w:rFonts w:ascii="Times New Roman" w:eastAsia="Times New Roman" w:hAnsi="Times New Roman" w:cs="Times New Roman"/>
          <w:sz w:val="24"/>
          <w:szCs w:val="24"/>
          <w:lang w:bidi="ar-EG"/>
        </w:rPr>
        <w:t>A study of the predictive factors of mortality in acute poisoning with aluminum phosphide with special reference to echocardiography and SOFA score.</w:t>
      </w:r>
      <w:r w:rsidRPr="00B63913">
        <w:rPr>
          <w:rFonts w:ascii="Times New Roman" w:eastAsia="Times New Roman" w:hAnsi="Times New Roman" w:cs="Times New Roman"/>
          <w:b/>
          <w:bCs/>
          <w:i/>
          <w:iCs/>
          <w:sz w:val="24"/>
          <w:szCs w:val="24"/>
          <w:lang w:bidi="ar-EG"/>
        </w:rPr>
        <w:t xml:space="preserve"> </w:t>
      </w:r>
      <w:r w:rsidRPr="00B63913">
        <w:rPr>
          <w:rFonts w:ascii="Times New Roman" w:eastAsia="Times New Roman" w:hAnsi="Times New Roman" w:cs="Times New Roman"/>
          <w:sz w:val="24"/>
          <w:szCs w:val="24"/>
          <w:lang w:bidi="ar-EG"/>
        </w:rPr>
        <w:t>Environ Sci Pollut Res Int.</w:t>
      </w:r>
      <w:r>
        <w:rPr>
          <w:rFonts w:ascii="Times New Roman" w:eastAsia="Times New Roman" w:hAnsi="Times New Roman" w:cs="Times New Roman"/>
          <w:sz w:val="24"/>
          <w:szCs w:val="24"/>
          <w:lang w:bidi="ar-EG"/>
        </w:rPr>
        <w:t xml:space="preserve"> </w:t>
      </w:r>
      <w:r w:rsidRPr="00B63913">
        <w:rPr>
          <w:rFonts w:ascii="Times New Roman" w:eastAsia="Times New Roman" w:hAnsi="Times New Roman" w:cs="Times New Roman"/>
          <w:sz w:val="24"/>
          <w:szCs w:val="24"/>
          <w:lang w:bidi="ar-EG"/>
        </w:rPr>
        <w:t>26(32):33135</w:t>
      </w:r>
      <w:r>
        <w:rPr>
          <w:rFonts w:ascii="Times New Roman" w:eastAsia="Times New Roman" w:hAnsi="Times New Roman" w:cs="Times New Roman"/>
          <w:sz w:val="24"/>
          <w:szCs w:val="24"/>
          <w:lang w:bidi="ar-EG"/>
        </w:rPr>
        <w:t xml:space="preserve">- </w:t>
      </w:r>
      <w:r w:rsidRPr="00B63913">
        <w:rPr>
          <w:rFonts w:ascii="Times New Roman" w:eastAsia="Times New Roman" w:hAnsi="Times New Roman" w:cs="Times New Roman"/>
          <w:sz w:val="24"/>
          <w:szCs w:val="24"/>
          <w:lang w:bidi="ar-EG"/>
        </w:rPr>
        <w:t>33145.</w:t>
      </w:r>
    </w:p>
    <w:p w14:paraId="72092371" w14:textId="77777777" w:rsidR="00F2736C" w:rsidRPr="00366F30" w:rsidRDefault="00F2736C" w:rsidP="00F2736C">
      <w:pPr>
        <w:bidi w:val="0"/>
        <w:spacing w:after="0" w:line="276" w:lineRule="auto"/>
        <w:ind w:left="720" w:hanging="720"/>
        <w:jc w:val="both"/>
        <w:rPr>
          <w:rFonts w:ascii="Times New Roman" w:eastAsia="Times New Roman" w:hAnsi="Times New Roman" w:cs="Times New Roman"/>
          <w:sz w:val="24"/>
          <w:szCs w:val="24"/>
          <w:rtl/>
          <w:lang w:bidi="ar-EG"/>
        </w:rPr>
      </w:pPr>
    </w:p>
    <w:p w14:paraId="1F9011F9" w14:textId="31D05ABB" w:rsidR="00F2736C" w:rsidRPr="00F2736C" w:rsidRDefault="00F2736C" w:rsidP="00F2736C">
      <w:pPr>
        <w:bidi w:val="0"/>
        <w:spacing w:after="0" w:line="240" w:lineRule="auto"/>
        <w:ind w:left="720" w:hanging="720"/>
        <w:jc w:val="both"/>
        <w:rPr>
          <w:rFonts w:ascii="Times New Roman" w:eastAsia="Times New Roman" w:hAnsi="Times New Roman" w:cs="Times New Roman"/>
          <w:sz w:val="24"/>
          <w:szCs w:val="24"/>
          <w:lang w:bidi="ar-EG"/>
        </w:rPr>
      </w:pPr>
      <w:bookmarkStart w:id="45" w:name="_Hlk113907599"/>
      <w:r w:rsidRPr="00F2736C">
        <w:rPr>
          <w:rFonts w:ascii="Times New Roman" w:eastAsia="Times New Roman" w:hAnsi="Times New Roman" w:cs="Times New Roman"/>
          <w:b/>
          <w:bCs/>
          <w:i/>
          <w:iCs/>
          <w:sz w:val="24"/>
          <w:szCs w:val="24"/>
          <w:lang w:bidi="ar-EG"/>
        </w:rPr>
        <w:t>Singh</w:t>
      </w:r>
      <w:bookmarkEnd w:id="45"/>
      <w:r w:rsidRPr="00F2736C">
        <w:rPr>
          <w:rFonts w:ascii="Times New Roman" w:eastAsia="Times New Roman" w:hAnsi="Times New Roman" w:cs="Times New Roman"/>
          <w:b/>
          <w:bCs/>
          <w:i/>
          <w:iCs/>
          <w:sz w:val="24"/>
          <w:szCs w:val="24"/>
          <w:lang w:bidi="ar-EG"/>
        </w:rPr>
        <w:t>, Y., Joshi, S.C., Satyawali, V. et al. (2014): </w:t>
      </w:r>
      <w:r w:rsidRPr="00F2736C">
        <w:rPr>
          <w:rFonts w:ascii="Times New Roman" w:eastAsia="Times New Roman" w:hAnsi="Times New Roman" w:cs="Times New Roman"/>
          <w:sz w:val="24"/>
          <w:szCs w:val="24"/>
          <w:lang w:bidi="ar-EG"/>
        </w:rPr>
        <w:t xml:space="preserve">Acute aluminium phosphide poisoning, what is new? Egypt J Intern Med 26, 99–103. </w:t>
      </w:r>
      <w:hyperlink r:id="rId21" w:history="1">
        <w:r w:rsidRPr="00F2736C">
          <w:rPr>
            <w:rStyle w:val="Hyperlink"/>
            <w:rFonts w:ascii="Times New Roman" w:eastAsia="Times New Roman" w:hAnsi="Times New Roman" w:cs="Times New Roman"/>
            <w:sz w:val="24"/>
            <w:szCs w:val="24"/>
            <w:lang w:bidi="ar-EG"/>
          </w:rPr>
          <w:t>https://doi.org/10.4103/1110-7782.145298</w:t>
        </w:r>
      </w:hyperlink>
    </w:p>
    <w:p w14:paraId="63ED160B" w14:textId="77777777" w:rsidR="00561928" w:rsidRDefault="00561928" w:rsidP="00561928">
      <w:pPr>
        <w:bidi w:val="0"/>
        <w:spacing w:after="0" w:line="240" w:lineRule="auto"/>
        <w:ind w:left="720" w:hanging="720"/>
        <w:jc w:val="both"/>
        <w:rPr>
          <w:rFonts w:ascii="Times New Roman" w:eastAsia="Times New Roman" w:hAnsi="Times New Roman" w:cs="Times New Roman"/>
          <w:sz w:val="24"/>
          <w:szCs w:val="24"/>
          <w:lang w:bidi="ar-EG"/>
        </w:rPr>
      </w:pPr>
    </w:p>
    <w:p w14:paraId="4F427EF8" w14:textId="77777777" w:rsidR="00F2736C" w:rsidRPr="00F2736C" w:rsidRDefault="00F2736C" w:rsidP="00F2736C">
      <w:pPr>
        <w:bidi w:val="0"/>
        <w:spacing w:line="240" w:lineRule="auto"/>
        <w:ind w:left="720" w:hanging="720"/>
        <w:jc w:val="both"/>
        <w:rPr>
          <w:rFonts w:ascii="Times New Roman" w:eastAsia="Times New Roman" w:hAnsi="Times New Roman" w:cs="Times New Roman"/>
          <w:b/>
          <w:bCs/>
          <w:i/>
          <w:iCs/>
          <w:sz w:val="24"/>
          <w:szCs w:val="24"/>
          <w:lang w:bidi="ar-EG"/>
        </w:rPr>
      </w:pPr>
      <w:bookmarkStart w:id="46" w:name="_Hlk103386882"/>
      <w:r w:rsidRPr="00F2736C">
        <w:rPr>
          <w:rFonts w:ascii="Times New Roman" w:eastAsia="Times New Roman" w:hAnsi="Times New Roman" w:cs="Times New Roman"/>
          <w:b/>
          <w:bCs/>
          <w:i/>
          <w:iCs/>
          <w:sz w:val="24"/>
          <w:szCs w:val="24"/>
          <w:lang w:bidi="ar-EG"/>
        </w:rPr>
        <w:t xml:space="preserve">Yan H., Chen H., Li Z., Shen M., Zhuo X., Wu H., &amp; Xiang, P. (2018): </w:t>
      </w:r>
      <w:r w:rsidRPr="00F2736C">
        <w:rPr>
          <w:rFonts w:ascii="Times New Roman" w:eastAsia="Times New Roman" w:hAnsi="Times New Roman" w:cs="Times New Roman"/>
          <w:sz w:val="24"/>
          <w:szCs w:val="24"/>
          <w:lang w:bidi="ar-EG"/>
        </w:rPr>
        <w:t>Phosphine Analysis in Postmortem Specimens Following Inhalation of Phosphine: Fatal Aluminum Phosphide Poisoning in Children. Journal of Analytical Toxicology, 42(5), 330–336. https://doi.org/10.1093/jat/bky005.</w:t>
      </w:r>
    </w:p>
    <w:bookmarkEnd w:id="46"/>
    <w:p w14:paraId="3B09F202"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24736BED"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4F6BA02F"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15BFD83C"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09F5217B"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014496E9"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198ED5BF"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0CA8C11B"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718F592E"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4B32EFCA"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594B498A"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189F3BCE" w14:textId="77777777"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5A7DA81D" w14:textId="00FB37F9"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409EF68B" w14:textId="2D64F6FC"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1563E13D" w14:textId="33C4A3C6"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19CBA8C4" w14:textId="351625C5"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2DB3C3BE" w14:textId="64692D4F"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31FC0F02" w14:textId="2DD89B5E"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69CD1E3E" w14:textId="7D0E1A18"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210C084D" w14:textId="65A735EE" w:rsidR="006F2890" w:rsidRDefault="006F2890" w:rsidP="006F2890">
      <w:pPr>
        <w:bidi w:val="0"/>
        <w:spacing w:after="0" w:line="240" w:lineRule="auto"/>
        <w:ind w:left="720" w:hanging="720"/>
        <w:jc w:val="both"/>
        <w:rPr>
          <w:rFonts w:ascii="Times New Roman" w:eastAsia="Times New Roman" w:hAnsi="Times New Roman" w:cs="Times New Roman"/>
          <w:sz w:val="24"/>
          <w:szCs w:val="24"/>
          <w:lang w:bidi="ar-EG"/>
        </w:rPr>
      </w:pPr>
    </w:p>
    <w:p w14:paraId="1D4E5D52" w14:textId="293680D3" w:rsidR="006F2890" w:rsidRPr="00B63913" w:rsidRDefault="006F2890" w:rsidP="00686AC3">
      <w:pPr>
        <w:bidi w:val="0"/>
        <w:spacing w:after="0" w:line="240" w:lineRule="auto"/>
        <w:rPr>
          <w:rFonts w:ascii="Times New Roman" w:eastAsia="Times New Roman" w:hAnsi="Times New Roman" w:cs="Times New Roman"/>
          <w:sz w:val="24"/>
          <w:szCs w:val="24"/>
          <w:lang w:bidi="ar-EG"/>
        </w:rPr>
        <w:sectPr w:rsidR="006F2890" w:rsidRPr="00B63913" w:rsidSect="00A9394D">
          <w:type w:val="continuous"/>
          <w:pgSz w:w="11906" w:h="16838"/>
          <w:pgMar w:top="1440" w:right="1080" w:bottom="1440" w:left="1080" w:header="708" w:footer="708" w:gutter="0"/>
          <w:cols w:num="2" w:space="708"/>
          <w:rtlGutter/>
          <w:docGrid w:linePitch="360"/>
        </w:sectPr>
      </w:pPr>
    </w:p>
    <w:p w14:paraId="462861DF" w14:textId="77777777" w:rsidR="00686AC3" w:rsidRDefault="00686AC3">
      <w:pPr>
        <w:bidi w:val="0"/>
        <w:rPr>
          <w:rFonts w:ascii="Times New Roman" w:eastAsia="Calibri" w:hAnsi="Times New Roman" w:cs="PT Bold Heading"/>
          <w:b/>
          <w:bCs/>
          <w:sz w:val="30"/>
          <w:szCs w:val="30"/>
          <w:rtl/>
          <w:lang w:bidi="ar-EG"/>
        </w:rPr>
      </w:pPr>
      <w:r>
        <w:rPr>
          <w:rFonts w:ascii="Times New Roman" w:eastAsia="Calibri" w:hAnsi="Times New Roman" w:cs="PT Bold Heading"/>
          <w:b/>
          <w:bCs/>
          <w:sz w:val="30"/>
          <w:szCs w:val="30"/>
          <w:rtl/>
          <w:lang w:bidi="ar-EG"/>
        </w:rPr>
        <w:br w:type="page"/>
      </w:r>
    </w:p>
    <w:p w14:paraId="3DA3AAEC" w14:textId="22AF9D0B" w:rsidR="008609F3" w:rsidRDefault="00A9394D" w:rsidP="00686AC3">
      <w:pPr>
        <w:bidi w:val="0"/>
        <w:spacing w:after="0" w:line="240" w:lineRule="auto"/>
        <w:jc w:val="center"/>
        <w:rPr>
          <w:rFonts w:ascii="Times New Roman" w:eastAsia="Calibri" w:hAnsi="Times New Roman" w:cs="PT Bold Heading"/>
          <w:b/>
          <w:bCs/>
          <w:sz w:val="30"/>
          <w:szCs w:val="30"/>
          <w:rtl/>
          <w:lang w:bidi="ar-EG"/>
        </w:rPr>
        <w:sectPr w:rsidR="008609F3" w:rsidSect="008609F3">
          <w:type w:val="continuous"/>
          <w:pgSz w:w="11906" w:h="16838"/>
          <w:pgMar w:top="1440" w:right="1080" w:bottom="1440" w:left="1080" w:header="708" w:footer="708" w:gutter="0"/>
          <w:cols w:space="708"/>
          <w:rtlGutter/>
          <w:docGrid w:linePitch="360"/>
        </w:sectPr>
      </w:pPr>
      <w:r>
        <w:rPr>
          <w:rFonts w:ascii="Times New Roman" w:eastAsia="Calibri" w:hAnsi="Times New Roman" w:cs="PT Bold Heading" w:hint="cs"/>
          <w:b/>
          <w:bCs/>
          <w:sz w:val="30"/>
          <w:szCs w:val="30"/>
          <w:rtl/>
          <w:lang w:bidi="ar-EG"/>
        </w:rPr>
        <w:t xml:space="preserve">الملخص </w:t>
      </w:r>
      <w:r w:rsidR="00211BB4">
        <w:rPr>
          <w:rFonts w:ascii="Times New Roman" w:eastAsia="Calibri" w:hAnsi="Times New Roman" w:cs="PT Bold Heading" w:hint="cs"/>
          <w:b/>
          <w:bCs/>
          <w:sz w:val="30"/>
          <w:szCs w:val="30"/>
          <w:rtl/>
          <w:lang w:bidi="ar-EG"/>
        </w:rPr>
        <w:t>العربي</w:t>
      </w:r>
    </w:p>
    <w:p w14:paraId="6CEB2234" w14:textId="77777777" w:rsidR="00A9394D" w:rsidRDefault="00A9394D" w:rsidP="00A9394D">
      <w:pPr>
        <w:bidi w:val="0"/>
        <w:spacing w:after="0" w:line="240" w:lineRule="auto"/>
        <w:jc w:val="center"/>
        <w:rPr>
          <w:rFonts w:ascii="Times New Roman" w:eastAsia="Calibri" w:hAnsi="Times New Roman" w:cs="PT Bold Heading"/>
          <w:b/>
          <w:bCs/>
          <w:sz w:val="30"/>
          <w:szCs w:val="30"/>
          <w:rtl/>
          <w:lang w:bidi="ar-EG"/>
        </w:rPr>
      </w:pPr>
    </w:p>
    <w:p w14:paraId="138C173C" w14:textId="77777777" w:rsidR="00A9394D" w:rsidRDefault="00A9394D" w:rsidP="00A9394D">
      <w:pPr>
        <w:bidi w:val="0"/>
        <w:spacing w:after="0" w:line="240" w:lineRule="auto"/>
        <w:jc w:val="center"/>
        <w:rPr>
          <w:rFonts w:ascii="Times New Roman" w:eastAsia="Calibri" w:hAnsi="Times New Roman" w:cs="PT Bold Heading"/>
          <w:b/>
          <w:bCs/>
          <w:sz w:val="30"/>
          <w:szCs w:val="30"/>
          <w:rtl/>
          <w:lang w:bidi="ar-EG"/>
        </w:rPr>
      </w:pPr>
    </w:p>
    <w:p w14:paraId="3077D4BE" w14:textId="7995651A" w:rsidR="008609F3" w:rsidRPr="00211BB4" w:rsidRDefault="00211BB4" w:rsidP="00211BB4">
      <w:pPr>
        <w:spacing w:after="0" w:line="360" w:lineRule="auto"/>
        <w:jc w:val="center"/>
        <w:rPr>
          <w:rFonts w:ascii="Times New Roman" w:eastAsia="Calibri" w:hAnsi="Times New Roman" w:cs="Times New Roman"/>
          <w:b/>
          <w:bCs/>
          <w:rtl/>
          <w:lang w:bidi="ar-EG"/>
        </w:rPr>
        <w:sectPr w:rsidR="008609F3" w:rsidRPr="00211BB4" w:rsidSect="008609F3">
          <w:type w:val="continuous"/>
          <w:pgSz w:w="11906" w:h="16838"/>
          <w:pgMar w:top="1440" w:right="1080" w:bottom="1440" w:left="1080" w:header="708" w:footer="708" w:gutter="0"/>
          <w:cols w:space="708"/>
          <w:rtlGutter/>
          <w:docGrid w:linePitch="360"/>
        </w:sectPr>
      </w:pPr>
      <w:r w:rsidRPr="00211BB4">
        <w:rPr>
          <w:rFonts w:ascii="Times New Roman" w:eastAsia="Calibri" w:hAnsi="Times New Roman" w:cs="Times New Roman" w:hint="eastAsia"/>
          <w:b/>
          <w:bCs/>
          <w:sz w:val="40"/>
          <w:szCs w:val="40"/>
          <w:rtl/>
        </w:rPr>
        <w:t>نتائج</w:t>
      </w:r>
      <w:r w:rsidRPr="00211BB4">
        <w:rPr>
          <w:rFonts w:ascii="Times New Roman" w:eastAsia="Calibri" w:hAnsi="Times New Roman" w:cs="Times New Roman"/>
          <w:b/>
          <w:bCs/>
          <w:sz w:val="40"/>
          <w:szCs w:val="40"/>
          <w:rtl/>
        </w:rPr>
        <w:t xml:space="preserve"> </w:t>
      </w:r>
      <w:r w:rsidRPr="00211BB4">
        <w:rPr>
          <w:rFonts w:ascii="Times New Roman" w:eastAsia="Calibri" w:hAnsi="Times New Roman" w:cs="Times New Roman" w:hint="eastAsia"/>
          <w:b/>
          <w:bCs/>
          <w:sz w:val="40"/>
          <w:szCs w:val="40"/>
          <w:rtl/>
        </w:rPr>
        <w:t>التشريح</w:t>
      </w:r>
      <w:r w:rsidRPr="00211BB4">
        <w:rPr>
          <w:rFonts w:ascii="Times New Roman" w:eastAsia="Calibri" w:hAnsi="Times New Roman" w:cs="Times New Roman"/>
          <w:b/>
          <w:bCs/>
          <w:sz w:val="40"/>
          <w:szCs w:val="40"/>
          <w:rtl/>
        </w:rPr>
        <w:t xml:space="preserve"> </w:t>
      </w:r>
      <w:r w:rsidRPr="00211BB4">
        <w:rPr>
          <w:rFonts w:ascii="Times New Roman" w:eastAsia="Calibri" w:hAnsi="Times New Roman" w:cs="Times New Roman" w:hint="eastAsia"/>
          <w:b/>
          <w:bCs/>
          <w:sz w:val="40"/>
          <w:szCs w:val="40"/>
          <w:rtl/>
        </w:rPr>
        <w:t>للجثث</w:t>
      </w:r>
      <w:r w:rsidRPr="00211BB4">
        <w:rPr>
          <w:rFonts w:ascii="Times New Roman" w:eastAsia="Calibri" w:hAnsi="Times New Roman" w:cs="Times New Roman"/>
          <w:b/>
          <w:bCs/>
          <w:sz w:val="40"/>
          <w:szCs w:val="40"/>
          <w:rtl/>
        </w:rPr>
        <w:t xml:space="preserve"> </w:t>
      </w:r>
      <w:r w:rsidRPr="00211BB4">
        <w:rPr>
          <w:rFonts w:ascii="Times New Roman" w:eastAsia="Calibri" w:hAnsi="Times New Roman" w:cs="Times New Roman" w:hint="eastAsia"/>
          <w:b/>
          <w:bCs/>
          <w:sz w:val="40"/>
          <w:szCs w:val="40"/>
          <w:rtl/>
        </w:rPr>
        <w:t>المسممة</w:t>
      </w:r>
      <w:r w:rsidRPr="00211BB4">
        <w:rPr>
          <w:rFonts w:ascii="Times New Roman" w:eastAsia="Calibri" w:hAnsi="Times New Roman" w:cs="Times New Roman"/>
          <w:b/>
          <w:bCs/>
          <w:sz w:val="40"/>
          <w:szCs w:val="40"/>
          <w:rtl/>
        </w:rPr>
        <w:t xml:space="preserve"> </w:t>
      </w:r>
      <w:r w:rsidRPr="00211BB4">
        <w:rPr>
          <w:rFonts w:ascii="Times New Roman" w:eastAsia="Calibri" w:hAnsi="Times New Roman" w:cs="Times New Roman" w:hint="eastAsia"/>
          <w:b/>
          <w:bCs/>
          <w:sz w:val="40"/>
          <w:szCs w:val="40"/>
          <w:rtl/>
        </w:rPr>
        <w:t>بفوسفيد</w:t>
      </w:r>
      <w:r w:rsidRPr="00211BB4">
        <w:rPr>
          <w:rFonts w:ascii="Times New Roman" w:eastAsia="Calibri" w:hAnsi="Times New Roman" w:cs="Times New Roman"/>
          <w:b/>
          <w:bCs/>
          <w:sz w:val="40"/>
          <w:szCs w:val="40"/>
          <w:rtl/>
        </w:rPr>
        <w:t xml:space="preserve"> </w:t>
      </w:r>
      <w:r w:rsidRPr="00211BB4">
        <w:rPr>
          <w:rFonts w:ascii="Times New Roman" w:eastAsia="Calibri" w:hAnsi="Times New Roman" w:cs="Times New Roman" w:hint="eastAsia"/>
          <w:b/>
          <w:bCs/>
          <w:sz w:val="40"/>
          <w:szCs w:val="40"/>
          <w:rtl/>
        </w:rPr>
        <w:t>الألومنيوم</w:t>
      </w:r>
      <w:r w:rsidRPr="00211BB4">
        <w:rPr>
          <w:rFonts w:ascii="Times New Roman" w:eastAsia="Calibri" w:hAnsi="Times New Roman" w:cs="Times New Roman" w:hint="cs"/>
          <w:b/>
          <w:bCs/>
          <w:sz w:val="40"/>
          <w:szCs w:val="40"/>
          <w:rtl/>
        </w:rPr>
        <w:t xml:space="preserve"> بمحافظة القليوبية، جمهورية مصر العربية</w:t>
      </w:r>
      <w:r w:rsidRPr="00211BB4">
        <w:rPr>
          <w:rFonts w:ascii="Times New Roman" w:eastAsia="Calibri" w:hAnsi="Times New Roman" w:cs="Times New Roman"/>
          <w:b/>
          <w:bCs/>
          <w:sz w:val="40"/>
          <w:szCs w:val="40"/>
        </w:rPr>
        <w:t xml:space="preserve"> </w:t>
      </w:r>
    </w:p>
    <w:p w14:paraId="5B13CAE8" w14:textId="77777777" w:rsidR="008609F3" w:rsidRPr="008609F3" w:rsidRDefault="008609F3" w:rsidP="008609F3">
      <w:pPr>
        <w:autoSpaceDE w:val="0"/>
        <w:autoSpaceDN w:val="0"/>
        <w:adjustRightInd w:val="0"/>
        <w:spacing w:after="0" w:line="276" w:lineRule="auto"/>
        <w:rPr>
          <w:rFonts w:ascii="Times New Roman" w:eastAsia="Calibri" w:hAnsi="Times New Roman" w:cs="Times New Roman"/>
          <w:b/>
          <w:bCs/>
          <w:sz w:val="24"/>
          <w:szCs w:val="24"/>
        </w:rPr>
      </w:pPr>
    </w:p>
    <w:p w14:paraId="215C1E18" w14:textId="77777777" w:rsidR="008609F3" w:rsidRPr="008609F3" w:rsidRDefault="008609F3" w:rsidP="008609F3">
      <w:pPr>
        <w:autoSpaceDE w:val="0"/>
        <w:autoSpaceDN w:val="0"/>
        <w:adjustRightInd w:val="0"/>
        <w:spacing w:after="0" w:line="276" w:lineRule="auto"/>
        <w:ind w:left="192" w:hanging="192"/>
        <w:rPr>
          <w:rFonts w:ascii="Times New Roman" w:eastAsia="Calibri" w:hAnsi="Times New Roman" w:cs="Times New Roman"/>
          <w:b/>
          <w:bCs/>
          <w:sz w:val="24"/>
          <w:szCs w:val="24"/>
        </w:rPr>
      </w:pPr>
    </w:p>
    <w:p w14:paraId="0287F38E" w14:textId="5FD39483" w:rsidR="00A9394D" w:rsidRPr="009924A8" w:rsidRDefault="005C08F1" w:rsidP="009924A8">
      <w:pPr>
        <w:autoSpaceDE w:val="0"/>
        <w:autoSpaceDN w:val="0"/>
        <w:adjustRightInd w:val="0"/>
        <w:spacing w:after="0" w:line="480" w:lineRule="auto"/>
        <w:ind w:firstLine="187"/>
        <w:jc w:val="both"/>
        <w:rPr>
          <w:rFonts w:ascii="Times New Roman" w:eastAsia="Times New Roman" w:hAnsi="Times New Roman" w:cs="Times New Roman"/>
          <w:sz w:val="32"/>
          <w:szCs w:val="32"/>
          <w:lang w:bidi="ar-EG"/>
        </w:rPr>
      </w:pPr>
      <w:r w:rsidRPr="009924A8">
        <w:rPr>
          <w:rFonts w:ascii="Times New Roman" w:eastAsia="Calibri" w:hAnsi="Times New Roman" w:cs="Times New Roman" w:hint="cs"/>
          <w:sz w:val="28"/>
          <w:szCs w:val="28"/>
          <w:rtl/>
          <w:lang w:bidi="ar-EG"/>
        </w:rPr>
        <w:t>ي</w:t>
      </w:r>
      <w:r w:rsidRPr="009924A8">
        <w:rPr>
          <w:rFonts w:ascii="Times New Roman" w:eastAsia="Calibri" w:hAnsi="Times New Roman" w:cs="Times New Roman"/>
          <w:sz w:val="28"/>
          <w:szCs w:val="28"/>
          <w:rtl/>
        </w:rPr>
        <w:t xml:space="preserve">ستخدم فوسفيد </w:t>
      </w:r>
      <w:r w:rsidR="001C1367" w:rsidRPr="009924A8">
        <w:rPr>
          <w:rFonts w:ascii="Times New Roman" w:eastAsia="Calibri" w:hAnsi="Times New Roman" w:cs="Times New Roman" w:hint="cs"/>
          <w:sz w:val="28"/>
          <w:szCs w:val="28"/>
          <w:rtl/>
        </w:rPr>
        <w:t xml:space="preserve">الألومنيوم </w:t>
      </w:r>
      <w:r w:rsidR="00795354">
        <w:rPr>
          <w:rFonts w:ascii="Times New Roman" w:eastAsia="Calibri" w:hAnsi="Times New Roman" w:cs="Times New Roman" w:hint="cs"/>
          <w:sz w:val="28"/>
          <w:szCs w:val="28"/>
          <w:rtl/>
        </w:rPr>
        <w:t xml:space="preserve">المعروفة بأقراص الغلة </w:t>
      </w:r>
      <w:r w:rsidR="001C1367" w:rsidRPr="009924A8">
        <w:rPr>
          <w:rFonts w:ascii="Times New Roman" w:eastAsia="Calibri" w:hAnsi="Times New Roman" w:cs="Times New Roman" w:hint="cs"/>
          <w:sz w:val="28"/>
          <w:szCs w:val="28"/>
          <w:rtl/>
        </w:rPr>
        <w:t>على</w:t>
      </w:r>
      <w:r w:rsidRPr="009924A8">
        <w:rPr>
          <w:rFonts w:ascii="Times New Roman" w:eastAsia="Calibri" w:hAnsi="Times New Roman" w:cs="Times New Roman"/>
          <w:sz w:val="28"/>
          <w:szCs w:val="28"/>
          <w:rtl/>
        </w:rPr>
        <w:t xml:space="preserve"> نطاق واسع كمبيد حشري اقتصادي </w:t>
      </w:r>
      <w:r w:rsidR="001C1367" w:rsidRPr="009924A8">
        <w:rPr>
          <w:rFonts w:ascii="Times New Roman" w:eastAsia="Calibri" w:hAnsi="Times New Roman" w:cs="Times New Roman" w:hint="cs"/>
          <w:sz w:val="28"/>
          <w:szCs w:val="28"/>
          <w:rtl/>
        </w:rPr>
        <w:t>وفعال،</w:t>
      </w:r>
      <w:r w:rsidRPr="009924A8">
        <w:rPr>
          <w:rFonts w:ascii="Times New Roman" w:eastAsia="Calibri" w:hAnsi="Times New Roman" w:cs="Times New Roman"/>
          <w:sz w:val="28"/>
          <w:szCs w:val="28"/>
          <w:rtl/>
        </w:rPr>
        <w:t xml:space="preserve"> ومبيد للقوارض. </w:t>
      </w:r>
      <w:r w:rsidRPr="009924A8">
        <w:rPr>
          <w:rFonts w:ascii="Times New Roman" w:eastAsia="Calibri" w:hAnsi="Times New Roman" w:cs="Times New Roman" w:hint="cs"/>
          <w:sz w:val="28"/>
          <w:szCs w:val="28"/>
          <w:rtl/>
        </w:rPr>
        <w:t>حيث أن</w:t>
      </w:r>
      <w:r w:rsidRPr="009924A8">
        <w:rPr>
          <w:rFonts w:ascii="Times New Roman" w:eastAsia="Calibri" w:hAnsi="Times New Roman" w:cs="Times New Roman"/>
          <w:sz w:val="28"/>
          <w:szCs w:val="28"/>
          <w:rtl/>
        </w:rPr>
        <w:t xml:space="preserve"> المكون النشط لـ</w:t>
      </w:r>
      <w:r w:rsidRPr="009924A8">
        <w:rPr>
          <w:rFonts w:ascii="Times New Roman" w:eastAsia="Calibri" w:hAnsi="Times New Roman" w:cs="Times New Roman" w:hint="cs"/>
          <w:sz w:val="28"/>
          <w:szCs w:val="28"/>
          <w:rtl/>
        </w:rPr>
        <w:t xml:space="preserve">ه </w:t>
      </w:r>
      <w:r w:rsidR="009924A8" w:rsidRPr="009924A8">
        <w:rPr>
          <w:rFonts w:ascii="Times New Roman" w:eastAsia="Calibri" w:hAnsi="Times New Roman" w:cs="Times New Roman" w:hint="cs"/>
          <w:sz w:val="28"/>
          <w:szCs w:val="28"/>
          <w:rtl/>
        </w:rPr>
        <w:t>هو غاز</w:t>
      </w:r>
      <w:r w:rsidRPr="009924A8">
        <w:rPr>
          <w:rFonts w:ascii="Times New Roman" w:eastAsia="Calibri" w:hAnsi="Times New Roman" w:cs="Times New Roman"/>
          <w:sz w:val="28"/>
          <w:szCs w:val="28"/>
          <w:rtl/>
        </w:rPr>
        <w:t xml:space="preserve"> </w:t>
      </w:r>
      <w:r w:rsidR="001C1367" w:rsidRPr="009924A8">
        <w:rPr>
          <w:rFonts w:ascii="Times New Roman" w:eastAsia="Calibri" w:hAnsi="Times New Roman" w:cs="Times New Roman" w:hint="cs"/>
          <w:sz w:val="28"/>
          <w:szCs w:val="28"/>
          <w:rtl/>
        </w:rPr>
        <w:t>الفوسفين،</w:t>
      </w:r>
      <w:r w:rsidRPr="009924A8">
        <w:rPr>
          <w:rFonts w:ascii="Times New Roman" w:eastAsia="Calibri" w:hAnsi="Times New Roman" w:cs="Times New Roman"/>
          <w:sz w:val="28"/>
          <w:szCs w:val="28"/>
          <w:rtl/>
        </w:rPr>
        <w:t xml:space="preserve"> </w:t>
      </w:r>
      <w:r w:rsidRPr="009924A8">
        <w:rPr>
          <w:rFonts w:ascii="Times New Roman" w:eastAsia="Calibri" w:hAnsi="Times New Roman" w:cs="Times New Roman" w:hint="cs"/>
          <w:sz w:val="28"/>
          <w:szCs w:val="28"/>
          <w:rtl/>
        </w:rPr>
        <w:t xml:space="preserve">فتوفر </w:t>
      </w:r>
      <w:r w:rsidRPr="009924A8">
        <w:rPr>
          <w:rFonts w:ascii="Times New Roman" w:eastAsia="Calibri" w:hAnsi="Times New Roman" w:cs="Times New Roman"/>
          <w:sz w:val="28"/>
          <w:szCs w:val="28"/>
          <w:rtl/>
        </w:rPr>
        <w:t xml:space="preserve">فوسفيد الألومنيوم بسهولة </w:t>
      </w:r>
      <w:r w:rsidRPr="009924A8">
        <w:rPr>
          <w:rFonts w:ascii="Times New Roman" w:eastAsia="Calibri" w:hAnsi="Times New Roman" w:cs="Times New Roman" w:hint="cs"/>
          <w:sz w:val="28"/>
          <w:szCs w:val="28"/>
          <w:rtl/>
        </w:rPr>
        <w:t xml:space="preserve">يؤدى </w:t>
      </w:r>
      <w:r w:rsidRPr="009924A8">
        <w:rPr>
          <w:rFonts w:ascii="Times New Roman" w:eastAsia="Calibri" w:hAnsi="Times New Roman" w:cs="Times New Roman"/>
          <w:sz w:val="28"/>
          <w:szCs w:val="28"/>
          <w:rtl/>
        </w:rPr>
        <w:t>إلى</w:t>
      </w:r>
      <w:r w:rsidRPr="009924A8">
        <w:rPr>
          <w:rFonts w:ascii="Times New Roman" w:eastAsia="Calibri" w:hAnsi="Times New Roman" w:cs="Times New Roman" w:hint="cs"/>
          <w:sz w:val="28"/>
          <w:szCs w:val="28"/>
          <w:rtl/>
        </w:rPr>
        <w:t xml:space="preserve"> استخدامه كوسيلة انتحار بشكل متزايد</w:t>
      </w:r>
      <w:r w:rsidRPr="009924A8">
        <w:rPr>
          <w:rFonts w:ascii="Times New Roman" w:eastAsia="Calibri" w:hAnsi="Times New Roman" w:cs="Times New Roman"/>
          <w:sz w:val="28"/>
          <w:szCs w:val="28"/>
          <w:rtl/>
        </w:rPr>
        <w:t xml:space="preserve"> مع ارتفاع معدل الوفيات.  </w:t>
      </w:r>
      <w:r w:rsidRPr="009924A8">
        <w:rPr>
          <w:rFonts w:ascii="Times New Roman" w:eastAsia="Calibri" w:hAnsi="Times New Roman" w:cs="Times New Roman" w:hint="cs"/>
          <w:sz w:val="28"/>
          <w:szCs w:val="28"/>
          <w:rtl/>
        </w:rPr>
        <w:t>فغاز الفوسفين يؤدى</w:t>
      </w:r>
      <w:r w:rsidRPr="009924A8">
        <w:rPr>
          <w:rFonts w:ascii="Times New Roman" w:eastAsia="Calibri" w:hAnsi="Times New Roman" w:cs="Times New Roman"/>
          <w:sz w:val="28"/>
          <w:szCs w:val="28"/>
          <w:rtl/>
        </w:rPr>
        <w:t xml:space="preserve"> إلى حدوث تلف كامل </w:t>
      </w:r>
      <w:r w:rsidRPr="009924A8">
        <w:rPr>
          <w:rFonts w:ascii="Times New Roman" w:eastAsia="Calibri" w:hAnsi="Times New Roman" w:cs="Times New Roman" w:hint="cs"/>
          <w:sz w:val="28"/>
          <w:szCs w:val="28"/>
          <w:rtl/>
        </w:rPr>
        <w:t>ب</w:t>
      </w:r>
      <w:r w:rsidRPr="009924A8">
        <w:rPr>
          <w:rFonts w:ascii="Times New Roman" w:eastAsia="Calibri" w:hAnsi="Times New Roman" w:cs="Times New Roman"/>
          <w:sz w:val="28"/>
          <w:szCs w:val="28"/>
          <w:rtl/>
        </w:rPr>
        <w:t xml:space="preserve">جسم الإنسان.  </w:t>
      </w:r>
      <w:r w:rsidRPr="009924A8">
        <w:rPr>
          <w:rFonts w:ascii="Times New Roman" w:eastAsia="Calibri" w:hAnsi="Times New Roman" w:cs="Times New Roman" w:hint="cs"/>
          <w:sz w:val="28"/>
          <w:szCs w:val="28"/>
          <w:rtl/>
        </w:rPr>
        <w:t xml:space="preserve">لذلك تهدف </w:t>
      </w:r>
      <w:r w:rsidRPr="009924A8">
        <w:rPr>
          <w:rFonts w:ascii="Times New Roman" w:eastAsia="Calibri" w:hAnsi="Times New Roman" w:cs="Times New Roman"/>
          <w:sz w:val="28"/>
          <w:szCs w:val="28"/>
          <w:rtl/>
        </w:rPr>
        <w:t xml:space="preserve">الدراسة الحالية إلى تحليل نتائج تشريح الجثة في أعضاء مختلفة من جسم الإنسان بسبب تسمم فوسفيد الألومنيوم في هيئة الطب الشرعي </w:t>
      </w:r>
      <w:r w:rsidR="001C1367" w:rsidRPr="009924A8">
        <w:rPr>
          <w:rFonts w:ascii="Times New Roman" w:eastAsia="Calibri" w:hAnsi="Times New Roman" w:cs="Times New Roman" w:hint="cs"/>
          <w:sz w:val="28"/>
          <w:szCs w:val="28"/>
          <w:rtl/>
        </w:rPr>
        <w:t>ببنها،</w:t>
      </w:r>
      <w:r w:rsidRPr="009924A8">
        <w:rPr>
          <w:rFonts w:ascii="Times New Roman" w:eastAsia="Calibri" w:hAnsi="Times New Roman" w:cs="Times New Roman"/>
          <w:sz w:val="28"/>
          <w:szCs w:val="28"/>
          <w:rtl/>
        </w:rPr>
        <w:t xml:space="preserve"> </w:t>
      </w:r>
      <w:r w:rsidR="001C1367" w:rsidRPr="009924A8">
        <w:rPr>
          <w:rFonts w:ascii="Times New Roman" w:eastAsia="Calibri" w:hAnsi="Times New Roman" w:cs="Times New Roman" w:hint="cs"/>
          <w:sz w:val="28"/>
          <w:szCs w:val="28"/>
          <w:rtl/>
        </w:rPr>
        <w:t>القليوبية،</w:t>
      </w:r>
      <w:r w:rsidRPr="009924A8">
        <w:rPr>
          <w:rFonts w:ascii="Times New Roman" w:eastAsia="Calibri" w:hAnsi="Times New Roman" w:cs="Times New Roman" w:hint="cs"/>
          <w:sz w:val="28"/>
          <w:szCs w:val="28"/>
          <w:rtl/>
        </w:rPr>
        <w:t xml:space="preserve"> جمهورية</w:t>
      </w:r>
      <w:r w:rsidRPr="009924A8">
        <w:rPr>
          <w:rFonts w:ascii="Times New Roman" w:eastAsia="Calibri" w:hAnsi="Times New Roman" w:cs="Times New Roman"/>
          <w:sz w:val="28"/>
          <w:szCs w:val="28"/>
          <w:rtl/>
        </w:rPr>
        <w:t xml:space="preserve"> مصر</w:t>
      </w:r>
      <w:r w:rsidRPr="009924A8">
        <w:rPr>
          <w:rFonts w:ascii="Times New Roman" w:eastAsia="Calibri" w:hAnsi="Times New Roman" w:cs="Times New Roman" w:hint="cs"/>
          <w:sz w:val="28"/>
          <w:szCs w:val="28"/>
          <w:rtl/>
        </w:rPr>
        <w:t xml:space="preserve"> العربية</w:t>
      </w:r>
      <w:r w:rsidRPr="009924A8">
        <w:rPr>
          <w:rFonts w:ascii="Times New Roman" w:eastAsia="Calibri" w:hAnsi="Times New Roman" w:cs="Times New Roman"/>
          <w:sz w:val="28"/>
          <w:szCs w:val="28"/>
          <w:rtl/>
        </w:rPr>
        <w:t xml:space="preserve">.  </w:t>
      </w:r>
      <w:r w:rsidRPr="009924A8">
        <w:rPr>
          <w:rFonts w:ascii="Times New Roman" w:eastAsia="Calibri" w:hAnsi="Times New Roman" w:cs="Times New Roman" w:hint="cs"/>
          <w:sz w:val="28"/>
          <w:szCs w:val="28"/>
          <w:rtl/>
        </w:rPr>
        <w:t>حيث</w:t>
      </w:r>
      <w:r w:rsidRPr="009924A8">
        <w:rPr>
          <w:rFonts w:ascii="Times New Roman" w:eastAsia="Calibri" w:hAnsi="Times New Roman" w:cs="Times New Roman"/>
          <w:sz w:val="28"/>
          <w:szCs w:val="28"/>
          <w:rtl/>
        </w:rPr>
        <w:t xml:space="preserve"> استعرضت هذه الدراسة </w:t>
      </w:r>
      <w:r w:rsidRPr="009924A8">
        <w:rPr>
          <w:rFonts w:ascii="Times New Roman" w:eastAsia="Calibri" w:hAnsi="Times New Roman" w:cs="Times New Roman" w:hint="cs"/>
          <w:sz w:val="28"/>
          <w:szCs w:val="28"/>
          <w:rtl/>
        </w:rPr>
        <w:t>10</w:t>
      </w:r>
      <w:r w:rsidRPr="009924A8">
        <w:rPr>
          <w:rFonts w:ascii="Times New Roman" w:eastAsia="Calibri" w:hAnsi="Times New Roman" w:cs="Times New Roman"/>
          <w:sz w:val="28"/>
          <w:szCs w:val="28"/>
          <w:rtl/>
        </w:rPr>
        <w:t xml:space="preserve"> حالات تشريح مؤكد كيميائيًا </w:t>
      </w:r>
      <w:r w:rsidR="001C1367" w:rsidRPr="009924A8">
        <w:rPr>
          <w:rFonts w:ascii="Times New Roman" w:eastAsia="Calibri" w:hAnsi="Times New Roman" w:cs="Times New Roman" w:hint="cs"/>
          <w:sz w:val="28"/>
          <w:szCs w:val="28"/>
          <w:rtl/>
        </w:rPr>
        <w:t xml:space="preserve">بتسممها بفوسفيد الألومنيوم </w:t>
      </w:r>
      <w:r w:rsidRPr="009924A8">
        <w:rPr>
          <w:rFonts w:ascii="Times New Roman" w:eastAsia="Calibri" w:hAnsi="Times New Roman" w:cs="Times New Roman"/>
          <w:sz w:val="28"/>
          <w:szCs w:val="28"/>
          <w:rtl/>
        </w:rPr>
        <w:t>وتم فحصها بالتفصيل بشكل كبير وتم صبغ عينات من الأنسجة من مختلف الأعضاء بواسطة الهيماتوكسيلين إيوزين وتم ملاحظتها مجهريًا.  بعد التركيز على التغيرات المرضية على الأعضاء الرئيسية وجدنا أضرارا شديدة ي</w:t>
      </w:r>
      <w:r w:rsidR="001C1367" w:rsidRPr="009924A8">
        <w:rPr>
          <w:rFonts w:ascii="Times New Roman" w:eastAsia="Calibri" w:hAnsi="Times New Roman" w:cs="Times New Roman" w:hint="cs"/>
          <w:sz w:val="28"/>
          <w:szCs w:val="28"/>
          <w:rtl/>
        </w:rPr>
        <w:t xml:space="preserve">سببها غاز الفوسفين </w:t>
      </w:r>
      <w:r w:rsidRPr="009924A8">
        <w:rPr>
          <w:rFonts w:ascii="Times New Roman" w:eastAsia="Calibri" w:hAnsi="Times New Roman" w:cs="Times New Roman"/>
          <w:sz w:val="28"/>
          <w:szCs w:val="28"/>
          <w:rtl/>
        </w:rPr>
        <w:t xml:space="preserve">في العديد من الأجهزة وخاصة في المعدة والاثني عشر والرئة والكلى.  علاوة على </w:t>
      </w:r>
      <w:r w:rsidR="001C1367" w:rsidRPr="009924A8">
        <w:rPr>
          <w:rFonts w:ascii="Times New Roman" w:eastAsia="Calibri" w:hAnsi="Times New Roman" w:cs="Times New Roman" w:hint="cs"/>
          <w:sz w:val="28"/>
          <w:szCs w:val="28"/>
          <w:rtl/>
        </w:rPr>
        <w:t>ذلك،</w:t>
      </w:r>
      <w:r w:rsidRPr="009924A8">
        <w:rPr>
          <w:rFonts w:ascii="Times New Roman" w:eastAsia="Calibri" w:hAnsi="Times New Roman" w:cs="Times New Roman"/>
          <w:sz w:val="28"/>
          <w:szCs w:val="28"/>
          <w:rtl/>
        </w:rPr>
        <w:t xml:space="preserve"> لاحظنا التنكس الشديد في </w:t>
      </w:r>
      <w:r w:rsidR="001C1367" w:rsidRPr="009924A8">
        <w:rPr>
          <w:rFonts w:ascii="Times New Roman" w:eastAsia="Calibri" w:hAnsi="Times New Roman" w:cs="Times New Roman" w:hint="cs"/>
          <w:sz w:val="28"/>
          <w:szCs w:val="28"/>
          <w:rtl/>
        </w:rPr>
        <w:t xml:space="preserve">أنسجة </w:t>
      </w:r>
      <w:r w:rsidRPr="009924A8">
        <w:rPr>
          <w:rFonts w:ascii="Times New Roman" w:eastAsia="Calibri" w:hAnsi="Times New Roman" w:cs="Times New Roman"/>
          <w:sz w:val="28"/>
          <w:szCs w:val="28"/>
          <w:rtl/>
        </w:rPr>
        <w:t>عضلة القلب والطحال والكبد.  الخلاصة</w:t>
      </w:r>
      <w:r w:rsidR="001C1367" w:rsidRPr="009924A8">
        <w:rPr>
          <w:rFonts w:ascii="Times New Roman" w:eastAsia="Calibri" w:hAnsi="Times New Roman" w:cs="Times New Roman" w:hint="cs"/>
          <w:sz w:val="28"/>
          <w:szCs w:val="28"/>
          <w:rtl/>
        </w:rPr>
        <w:t>. ولذلك</w:t>
      </w:r>
      <w:r w:rsidRPr="009924A8">
        <w:rPr>
          <w:rFonts w:ascii="Times New Roman" w:eastAsia="Calibri" w:hAnsi="Times New Roman" w:cs="Times New Roman"/>
          <w:sz w:val="28"/>
          <w:szCs w:val="28"/>
          <w:rtl/>
        </w:rPr>
        <w:t xml:space="preserve"> اعتبرنا أن هذه التغييرات المميزة </w:t>
      </w:r>
      <w:r w:rsidR="001C1367" w:rsidRPr="009924A8">
        <w:rPr>
          <w:rFonts w:ascii="Times New Roman" w:eastAsia="Calibri" w:hAnsi="Times New Roman" w:cs="Times New Roman" w:hint="cs"/>
          <w:sz w:val="28"/>
          <w:szCs w:val="28"/>
          <w:rtl/>
        </w:rPr>
        <w:t xml:space="preserve">إجمالا </w:t>
      </w:r>
      <w:r w:rsidRPr="009924A8">
        <w:rPr>
          <w:rFonts w:ascii="Times New Roman" w:eastAsia="Calibri" w:hAnsi="Times New Roman" w:cs="Times New Roman"/>
          <w:sz w:val="28"/>
          <w:szCs w:val="28"/>
          <w:rtl/>
        </w:rPr>
        <w:t>هي علامة توحي ب</w:t>
      </w:r>
      <w:r w:rsidR="001C1367" w:rsidRPr="009924A8">
        <w:rPr>
          <w:rFonts w:ascii="Times New Roman" w:eastAsia="Calibri" w:hAnsi="Times New Roman" w:cs="Times New Roman" w:hint="cs"/>
          <w:sz w:val="28"/>
          <w:szCs w:val="28"/>
          <w:rtl/>
        </w:rPr>
        <w:t>ال</w:t>
      </w:r>
      <w:r w:rsidRPr="009924A8">
        <w:rPr>
          <w:rFonts w:ascii="Times New Roman" w:eastAsia="Calibri" w:hAnsi="Times New Roman" w:cs="Times New Roman"/>
          <w:sz w:val="28"/>
          <w:szCs w:val="28"/>
          <w:rtl/>
        </w:rPr>
        <w:t xml:space="preserve">تسمم </w:t>
      </w:r>
      <w:r w:rsidR="001C1367" w:rsidRPr="009924A8">
        <w:rPr>
          <w:rFonts w:ascii="Times New Roman" w:eastAsia="Calibri" w:hAnsi="Times New Roman" w:cs="Times New Roman" w:hint="cs"/>
          <w:sz w:val="28"/>
          <w:szCs w:val="28"/>
          <w:rtl/>
        </w:rPr>
        <w:t>غاز الفوسفين</w:t>
      </w:r>
      <w:r w:rsidRPr="009924A8">
        <w:rPr>
          <w:rFonts w:ascii="Times New Roman" w:eastAsia="Calibri" w:hAnsi="Times New Roman" w:cs="Times New Roman"/>
          <w:sz w:val="28"/>
          <w:szCs w:val="28"/>
          <w:rtl/>
        </w:rPr>
        <w:t xml:space="preserve"> </w:t>
      </w:r>
      <w:r w:rsidR="001C1367" w:rsidRPr="009924A8">
        <w:rPr>
          <w:rFonts w:ascii="Times New Roman" w:eastAsia="Calibri" w:hAnsi="Times New Roman" w:cs="Times New Roman" w:hint="cs"/>
          <w:sz w:val="28"/>
          <w:szCs w:val="28"/>
          <w:rtl/>
        </w:rPr>
        <w:t>بسبب</w:t>
      </w:r>
      <w:r w:rsidRPr="009924A8">
        <w:rPr>
          <w:rFonts w:ascii="Times New Roman" w:eastAsia="Calibri" w:hAnsi="Times New Roman" w:cs="Times New Roman"/>
          <w:sz w:val="28"/>
          <w:szCs w:val="28"/>
          <w:rtl/>
        </w:rPr>
        <w:t xml:space="preserve"> الآلية السا</w:t>
      </w:r>
      <w:r w:rsidR="001C1367" w:rsidRPr="009924A8">
        <w:rPr>
          <w:rFonts w:ascii="Times New Roman" w:eastAsia="Calibri" w:hAnsi="Times New Roman" w:cs="Times New Roman" w:hint="cs"/>
          <w:sz w:val="28"/>
          <w:szCs w:val="28"/>
          <w:rtl/>
        </w:rPr>
        <w:t xml:space="preserve">مة لهذا الغاز </w:t>
      </w:r>
      <w:r w:rsidR="009924A8" w:rsidRPr="009924A8">
        <w:rPr>
          <w:rFonts w:ascii="Times New Roman" w:eastAsia="Calibri" w:hAnsi="Times New Roman" w:cs="Times New Roman" w:hint="cs"/>
          <w:sz w:val="28"/>
          <w:szCs w:val="28"/>
          <w:rtl/>
        </w:rPr>
        <w:t>وهي</w:t>
      </w:r>
      <w:r w:rsidRPr="009924A8">
        <w:rPr>
          <w:rFonts w:ascii="Times New Roman" w:eastAsia="Calibri" w:hAnsi="Times New Roman" w:cs="Times New Roman"/>
          <w:sz w:val="28"/>
          <w:szCs w:val="28"/>
          <w:rtl/>
        </w:rPr>
        <w:t xml:space="preserve"> (تثبيط الفسفرة المؤكسدة للميتوكوندريا).  </w:t>
      </w:r>
      <w:r w:rsidR="001C1367" w:rsidRPr="009924A8">
        <w:rPr>
          <w:rFonts w:ascii="Times New Roman" w:eastAsia="Calibri" w:hAnsi="Times New Roman" w:cs="Times New Roman" w:hint="cs"/>
          <w:sz w:val="28"/>
          <w:szCs w:val="28"/>
          <w:rtl/>
        </w:rPr>
        <w:t>ف</w:t>
      </w:r>
      <w:r w:rsidRPr="009924A8">
        <w:rPr>
          <w:rFonts w:ascii="Times New Roman" w:eastAsia="Calibri" w:hAnsi="Times New Roman" w:cs="Times New Roman"/>
          <w:sz w:val="28"/>
          <w:szCs w:val="28"/>
          <w:rtl/>
        </w:rPr>
        <w:t xml:space="preserve">نأمل أن يتمكن هذا البحث من تحسين فهم سمية </w:t>
      </w:r>
      <w:r w:rsidR="009924A8" w:rsidRPr="009924A8">
        <w:rPr>
          <w:rFonts w:ascii="Times New Roman" w:eastAsia="Calibri" w:hAnsi="Times New Roman" w:cs="Times New Roman" w:hint="cs"/>
          <w:sz w:val="28"/>
          <w:szCs w:val="28"/>
          <w:rtl/>
        </w:rPr>
        <w:t>غاز الفوسفين</w:t>
      </w:r>
      <w:r w:rsidRPr="009924A8">
        <w:rPr>
          <w:rFonts w:ascii="Times New Roman" w:eastAsia="Calibri" w:hAnsi="Times New Roman" w:cs="Times New Roman"/>
          <w:sz w:val="28"/>
          <w:szCs w:val="28"/>
          <w:rtl/>
        </w:rPr>
        <w:t xml:space="preserve"> في كل من الطب الشرعي والممارسة السريرية.</w:t>
      </w:r>
    </w:p>
    <w:sectPr w:rsidR="00A9394D" w:rsidRPr="009924A8" w:rsidSect="008609F3">
      <w:type w:val="continuous"/>
      <w:pgSz w:w="11906" w:h="16838"/>
      <w:pgMar w:top="1440" w:right="1080" w:bottom="1440" w:left="108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AF242" w14:textId="77777777" w:rsidR="00DC3ADB" w:rsidRDefault="00DC3ADB" w:rsidP="006B21F8">
      <w:pPr>
        <w:spacing w:after="0" w:line="240" w:lineRule="auto"/>
      </w:pPr>
      <w:r>
        <w:separator/>
      </w:r>
    </w:p>
  </w:endnote>
  <w:endnote w:type="continuationSeparator" w:id="0">
    <w:p w14:paraId="03C47DCA" w14:textId="77777777" w:rsidR="00DC3ADB" w:rsidRDefault="00DC3ADB" w:rsidP="006B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1030603880"/>
      <w:docPartObj>
        <w:docPartGallery w:val="Page Numbers (Bottom of Page)"/>
        <w:docPartUnique/>
      </w:docPartObj>
    </w:sdtPr>
    <w:sdtContent>
      <w:p w14:paraId="52004D65" w14:textId="77777777" w:rsidR="00F31DDD" w:rsidRDefault="00F31DDD" w:rsidP="00846AD3">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70A5FAEC" w14:textId="77777777" w:rsidR="00F31DDD" w:rsidRDefault="00F31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84EF" w14:textId="632182C0" w:rsidR="00B82D31" w:rsidRDefault="00B82D31" w:rsidP="00B82D31">
    <w:pPr>
      <w:pStyle w:val="Footer"/>
    </w:pPr>
    <w:r w:rsidRPr="00B82D31">
      <w:ptab w:relativeTo="margin" w:alignment="right" w:leader="none"/>
    </w:r>
    <w:r w:rsidRPr="009755EA">
      <w:rPr>
        <w:b/>
        <w:bCs/>
      </w:rPr>
      <w:t>Biannual Forensi</w:t>
    </w:r>
    <w:r>
      <w:rPr>
        <w:b/>
        <w:bCs/>
      </w:rPr>
      <w:t>c Sciences and Toxicology Jour</w:t>
    </w:r>
    <w:r w:rsidR="00D17012">
      <w:rPr>
        <w:b/>
        <w:bCs/>
      </w:rPr>
      <w:t>n</w:t>
    </w:r>
    <w:r>
      <w:rPr>
        <w:b/>
        <w:bCs/>
      </w:rPr>
      <w:t xml:space="preserve">al     </w:t>
    </w:r>
    <w:r w:rsidR="00D17012">
      <w:rPr>
        <w:b/>
        <w:bCs/>
      </w:rPr>
      <w:t xml:space="preserve">                               </w:t>
    </w:r>
    <w:r>
      <w:rPr>
        <w:b/>
        <w:bCs/>
      </w:rPr>
      <w:t xml:space="preserve">                          </w:t>
    </w:r>
    <w:r w:rsidRPr="009755EA">
      <w:rPr>
        <w:b/>
        <w:bCs/>
      </w:rPr>
      <w:t xml:space="preserve">Vol 1, </w:t>
    </w:r>
    <w:r w:rsidR="00D150DE">
      <w:rPr>
        <w:b/>
        <w:bCs/>
      </w:rPr>
      <w:t>December</w:t>
    </w:r>
    <w:r w:rsidRPr="009755EA">
      <w:rPr>
        <w:b/>
        <w:bCs/>
      </w:rPr>
      <w:t xml:space="preserve"> 202</w:t>
    </w:r>
    <w:r w:rsidR="00D150DE">
      <w:rPr>
        <w:b/>
        <w:bCs/>
      </w:rPr>
      <w:t>2</w:t>
    </w:r>
    <w:r>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17D3" w14:textId="77777777" w:rsidR="00DC3ADB" w:rsidRDefault="00DC3ADB" w:rsidP="006B21F8">
      <w:pPr>
        <w:spacing w:after="0" w:line="240" w:lineRule="auto"/>
      </w:pPr>
      <w:r>
        <w:separator/>
      </w:r>
    </w:p>
  </w:footnote>
  <w:footnote w:type="continuationSeparator" w:id="0">
    <w:p w14:paraId="2984BFF4" w14:textId="77777777" w:rsidR="00DC3ADB" w:rsidRDefault="00DC3ADB" w:rsidP="006B2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736521136"/>
      <w:docPartObj>
        <w:docPartGallery w:val="Page Numbers (Top of Page)"/>
        <w:docPartUnique/>
      </w:docPartObj>
    </w:sdtPr>
    <w:sdtContent>
      <w:p w14:paraId="7C7984F1" w14:textId="77777777" w:rsidR="00A1674C" w:rsidRDefault="00A1674C" w:rsidP="00846AD3">
        <w:pPr>
          <w:pStyle w:val="Header"/>
          <w:framePr w:wrap="none" w:vAnchor="text" w:hAnchor="text" w:xAlign="right"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5CEE0BAF" w14:textId="77777777" w:rsidR="00F31DDD" w:rsidRDefault="00F31DDD" w:rsidP="00A1674C">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1906821434"/>
      <w:docPartObj>
        <w:docPartGallery w:val="Page Numbers (Top of Page)"/>
        <w:docPartUnique/>
      </w:docPartObj>
    </w:sdtPr>
    <w:sdtContent>
      <w:p w14:paraId="2F993902" w14:textId="77777777" w:rsidR="00A1674C" w:rsidRDefault="00A1674C" w:rsidP="00846AD3">
        <w:pPr>
          <w:pStyle w:val="Header"/>
          <w:framePr w:wrap="none" w:vAnchor="text" w:hAnchor="text" w:xAlign="right"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6629EFC7" w14:textId="769C8667" w:rsidR="00B82D31" w:rsidRDefault="00B40BDA" w:rsidP="00B40BDA">
    <w:pPr>
      <w:pStyle w:val="Header"/>
      <w:ind w:firstLine="360"/>
      <w:rPr>
        <w:rtl/>
        <w:lang w:bidi="ar-EG"/>
      </w:rPr>
    </w:pPr>
    <w:r>
      <w:rPr>
        <w:noProof/>
      </w:rPr>
      <mc:AlternateContent>
        <mc:Choice Requires="wps">
          <w:drawing>
            <wp:anchor distT="0" distB="0" distL="114300" distR="114300" simplePos="0" relativeHeight="251659264" behindDoc="0" locked="0" layoutInCell="1" allowOverlap="1" wp14:anchorId="5FB8D428" wp14:editId="1A738C1F">
              <wp:simplePos x="0" y="0"/>
              <wp:positionH relativeFrom="margin">
                <wp:align>right</wp:align>
              </wp:positionH>
              <wp:positionV relativeFrom="paragraph">
                <wp:posOffset>224367</wp:posOffset>
              </wp:positionV>
              <wp:extent cx="6172200" cy="12700"/>
              <wp:effectExtent l="0" t="0" r="19050" b="25400"/>
              <wp:wrapNone/>
              <wp:docPr id="11" name="Straight Connector 11"/>
              <wp:cNvGraphicFramePr/>
              <a:graphic xmlns:a="http://schemas.openxmlformats.org/drawingml/2006/main">
                <a:graphicData uri="http://schemas.microsoft.com/office/word/2010/wordprocessingShape">
                  <wps:wsp>
                    <wps:cNvCnPr/>
                    <wps:spPr>
                      <a:xfrm>
                        <a:off x="0" y="0"/>
                        <a:ext cx="61722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C390A" id="Straight Connector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8pt,17.65pt" to="920.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" strokecolor="black [3200]" strokeweight="1.5pt">
              <v:stroke joinstyle="miter"/>
              <w10:wrap anchorx="margin"/>
            </v:line>
          </w:pict>
        </mc:Fallback>
      </mc:AlternateContent>
    </w:r>
    <w:r w:rsidR="006B21F8" w:rsidRPr="006B21F8">
      <w:ptab w:relativeTo="margin" w:alignment="right" w:leader="none"/>
    </w:r>
    <w:r w:rsidRPr="00B40BDA">
      <w:rPr>
        <w:rFonts w:asciiTheme="majorBidi" w:eastAsia="Times New Roman" w:hAnsiTheme="majorBidi" w:cstheme="majorBidi"/>
        <w:b/>
        <w:bCs/>
        <w:sz w:val="24"/>
        <w:szCs w:val="24"/>
      </w:rPr>
      <w:t xml:space="preserve">Abd El-magid et 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E114" w14:textId="77777777" w:rsidR="0098031D" w:rsidRDefault="0098031D">
    <w:pPr>
      <w:pStyle w:val="Header"/>
      <w:rPr>
        <w:lang w:bidi="ar-EG"/>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3C63" w14:textId="77777777" w:rsidR="0098031D" w:rsidRDefault="0098031D">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E01"/>
    <w:multiLevelType w:val="hybridMultilevel"/>
    <w:tmpl w:val="74FE96B6"/>
    <w:lvl w:ilvl="0" w:tplc="290E4A1C">
      <w:start w:val="1"/>
      <w:numFmt w:val="upperRoman"/>
      <w:lvlText w:val="%1."/>
      <w:lvlJc w:val="left"/>
      <w:pPr>
        <w:ind w:left="720" w:hanging="720"/>
      </w:pPr>
      <w:rPr>
        <w:rFonts w:hint="default"/>
        <w:b/>
        <w:i w:val="0"/>
        <w:iCs/>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8D6327"/>
    <w:multiLevelType w:val="hybridMultilevel"/>
    <w:tmpl w:val="7A5CC2B6"/>
    <w:lvl w:ilvl="0" w:tplc="2E0E1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13999"/>
    <w:multiLevelType w:val="hybridMultilevel"/>
    <w:tmpl w:val="CCCE824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 w15:restartNumberingAfterBreak="0">
    <w:nsid w:val="0FA25E42"/>
    <w:multiLevelType w:val="hybridMultilevel"/>
    <w:tmpl w:val="B9B864E6"/>
    <w:lvl w:ilvl="0" w:tplc="7000102E">
      <w:start w:val="3"/>
      <w:numFmt w:val="bullet"/>
      <w:lvlText w:val="-"/>
      <w:lvlJc w:val="left"/>
      <w:pPr>
        <w:ind w:left="360" w:hanging="360"/>
      </w:pPr>
      <w:rPr>
        <w:rFonts w:ascii="Times New Roman" w:eastAsia="Calibri"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C42B2"/>
    <w:multiLevelType w:val="hybridMultilevel"/>
    <w:tmpl w:val="28E4FAEA"/>
    <w:lvl w:ilvl="0" w:tplc="7000102E">
      <w:start w:val="3"/>
      <w:numFmt w:val="bullet"/>
      <w:lvlText w:val="-"/>
      <w:lvlJc w:val="left"/>
      <w:pPr>
        <w:ind w:left="360" w:hanging="360"/>
      </w:pPr>
      <w:rPr>
        <w:rFonts w:ascii="Times New Roman" w:eastAsia="Calibri" w:hAnsi="Times New Roman" w:cs="Times New Roman" w:hint="default"/>
        <w:b w:val="0"/>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4B3C77"/>
    <w:multiLevelType w:val="hybridMultilevel"/>
    <w:tmpl w:val="3A2AD248"/>
    <w:lvl w:ilvl="0" w:tplc="0409000B">
      <w:start w:val="1"/>
      <w:numFmt w:val="bullet"/>
      <w:lvlText w:val=""/>
      <w:lvlJc w:val="left"/>
      <w:pPr>
        <w:ind w:left="720" w:hanging="360"/>
      </w:pPr>
      <w:rPr>
        <w:rFonts w:ascii="Wingdings" w:hAnsi="Wingdings" w:hint="default"/>
        <w:color w:val="806000" w:themeColor="accent4"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AE01DC"/>
    <w:multiLevelType w:val="hybridMultilevel"/>
    <w:tmpl w:val="F3464D64"/>
    <w:lvl w:ilvl="0" w:tplc="ADC4ED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CC3A4B"/>
    <w:multiLevelType w:val="hybridMultilevel"/>
    <w:tmpl w:val="000E61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5671C90"/>
    <w:multiLevelType w:val="hybridMultilevel"/>
    <w:tmpl w:val="29006526"/>
    <w:lvl w:ilvl="0" w:tplc="82DA6D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E248E"/>
    <w:multiLevelType w:val="hybridMultilevel"/>
    <w:tmpl w:val="F59C038C"/>
    <w:lvl w:ilvl="0" w:tplc="7F44B9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E0C46"/>
    <w:multiLevelType w:val="hybridMultilevel"/>
    <w:tmpl w:val="9A203D6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63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5E1741"/>
    <w:multiLevelType w:val="hybridMultilevel"/>
    <w:tmpl w:val="E430932A"/>
    <w:lvl w:ilvl="0" w:tplc="5734D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52A44"/>
    <w:multiLevelType w:val="hybridMultilevel"/>
    <w:tmpl w:val="525A958E"/>
    <w:lvl w:ilvl="0" w:tplc="A8CE83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0B2687"/>
    <w:multiLevelType w:val="hybridMultilevel"/>
    <w:tmpl w:val="A1E2F6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0E41F0"/>
    <w:multiLevelType w:val="hybridMultilevel"/>
    <w:tmpl w:val="8CF034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B765C3D"/>
    <w:multiLevelType w:val="hybridMultilevel"/>
    <w:tmpl w:val="40068486"/>
    <w:lvl w:ilvl="0" w:tplc="2A36AA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64F18"/>
    <w:multiLevelType w:val="hybridMultilevel"/>
    <w:tmpl w:val="757EF790"/>
    <w:lvl w:ilvl="0" w:tplc="28AEFF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443D68"/>
    <w:multiLevelType w:val="hybridMultilevel"/>
    <w:tmpl w:val="86F4CC12"/>
    <w:lvl w:ilvl="0" w:tplc="AB4E5230">
      <w:start w:val="1"/>
      <w:numFmt w:val="upp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8" w15:restartNumberingAfterBreak="0">
    <w:nsid w:val="5E5E048B"/>
    <w:multiLevelType w:val="hybridMultilevel"/>
    <w:tmpl w:val="A982574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A13036"/>
    <w:multiLevelType w:val="hybridMultilevel"/>
    <w:tmpl w:val="588EC4EC"/>
    <w:lvl w:ilvl="0" w:tplc="13B0BF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A618B2"/>
    <w:multiLevelType w:val="hybridMultilevel"/>
    <w:tmpl w:val="CECA91E4"/>
    <w:lvl w:ilvl="0" w:tplc="7000102E">
      <w:start w:val="3"/>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E2077"/>
    <w:multiLevelType w:val="hybridMultilevel"/>
    <w:tmpl w:val="5B4CDA4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2" w15:restartNumberingAfterBreak="0">
    <w:nsid w:val="76415FE4"/>
    <w:multiLevelType w:val="hybridMultilevel"/>
    <w:tmpl w:val="D8C6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BF7E5C"/>
    <w:multiLevelType w:val="hybridMultilevel"/>
    <w:tmpl w:val="403A8344"/>
    <w:lvl w:ilvl="0" w:tplc="D7125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1478504">
    <w:abstractNumId w:val="22"/>
  </w:num>
  <w:num w:numId="2" w16cid:durableId="957882139">
    <w:abstractNumId w:val="21"/>
  </w:num>
  <w:num w:numId="3" w16cid:durableId="1778796765">
    <w:abstractNumId w:val="2"/>
  </w:num>
  <w:num w:numId="4" w16cid:durableId="121194826">
    <w:abstractNumId w:val="6"/>
  </w:num>
  <w:num w:numId="5" w16cid:durableId="1415862131">
    <w:abstractNumId w:val="11"/>
  </w:num>
  <w:num w:numId="6" w16cid:durableId="173610964">
    <w:abstractNumId w:val="7"/>
  </w:num>
  <w:num w:numId="7" w16cid:durableId="1715228857">
    <w:abstractNumId w:val="14"/>
  </w:num>
  <w:num w:numId="8" w16cid:durableId="381365878">
    <w:abstractNumId w:val="17"/>
  </w:num>
  <w:num w:numId="9" w16cid:durableId="666984394">
    <w:abstractNumId w:val="19"/>
  </w:num>
  <w:num w:numId="10" w16cid:durableId="566918243">
    <w:abstractNumId w:val="4"/>
  </w:num>
  <w:num w:numId="11" w16cid:durableId="1177112794">
    <w:abstractNumId w:val="5"/>
  </w:num>
  <w:num w:numId="12" w16cid:durableId="1847283371">
    <w:abstractNumId w:val="13"/>
  </w:num>
  <w:num w:numId="13" w16cid:durableId="158883793">
    <w:abstractNumId w:val="0"/>
  </w:num>
  <w:num w:numId="14" w16cid:durableId="1448230584">
    <w:abstractNumId w:val="10"/>
  </w:num>
  <w:num w:numId="15" w16cid:durableId="820460787">
    <w:abstractNumId w:val="1"/>
  </w:num>
  <w:num w:numId="16" w16cid:durableId="98919633">
    <w:abstractNumId w:val="15"/>
  </w:num>
  <w:num w:numId="17" w16cid:durableId="1726172689">
    <w:abstractNumId w:val="16"/>
  </w:num>
  <w:num w:numId="18" w16cid:durableId="589778478">
    <w:abstractNumId w:val="23"/>
  </w:num>
  <w:num w:numId="19" w16cid:durableId="1877308894">
    <w:abstractNumId w:val="8"/>
  </w:num>
  <w:num w:numId="20" w16cid:durableId="357505425">
    <w:abstractNumId w:val="12"/>
  </w:num>
  <w:num w:numId="21" w16cid:durableId="2016762314">
    <w:abstractNumId w:val="18"/>
  </w:num>
  <w:num w:numId="22" w16cid:durableId="1972204286">
    <w:abstractNumId w:val="9"/>
  </w:num>
  <w:num w:numId="23" w16cid:durableId="1479686897">
    <w:abstractNumId w:val="20"/>
  </w:num>
  <w:num w:numId="24" w16cid:durableId="1783648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7F0"/>
    <w:rsid w:val="00007C6F"/>
    <w:rsid w:val="000406FC"/>
    <w:rsid w:val="000436B4"/>
    <w:rsid w:val="00046298"/>
    <w:rsid w:val="00053F96"/>
    <w:rsid w:val="00062FD6"/>
    <w:rsid w:val="00063493"/>
    <w:rsid w:val="00077298"/>
    <w:rsid w:val="00096213"/>
    <w:rsid w:val="000A2753"/>
    <w:rsid w:val="000A7A20"/>
    <w:rsid w:val="000B5602"/>
    <w:rsid w:val="000B7CA3"/>
    <w:rsid w:val="000C6DE4"/>
    <w:rsid w:val="000E04FA"/>
    <w:rsid w:val="00103782"/>
    <w:rsid w:val="00116CD4"/>
    <w:rsid w:val="0012639B"/>
    <w:rsid w:val="00127DA3"/>
    <w:rsid w:val="001447AE"/>
    <w:rsid w:val="001456A5"/>
    <w:rsid w:val="0017291E"/>
    <w:rsid w:val="001744D7"/>
    <w:rsid w:val="00197224"/>
    <w:rsid w:val="001B6606"/>
    <w:rsid w:val="001C1367"/>
    <w:rsid w:val="001C1924"/>
    <w:rsid w:val="001C20E0"/>
    <w:rsid w:val="001C4C04"/>
    <w:rsid w:val="001D48A1"/>
    <w:rsid w:val="001E61CA"/>
    <w:rsid w:val="00211BB4"/>
    <w:rsid w:val="00240F2F"/>
    <w:rsid w:val="002B5824"/>
    <w:rsid w:val="002B7EF1"/>
    <w:rsid w:val="002C04D5"/>
    <w:rsid w:val="002D3066"/>
    <w:rsid w:val="00304AE3"/>
    <w:rsid w:val="0031334E"/>
    <w:rsid w:val="003559EE"/>
    <w:rsid w:val="00366F30"/>
    <w:rsid w:val="003741F2"/>
    <w:rsid w:val="003742AB"/>
    <w:rsid w:val="00376BFA"/>
    <w:rsid w:val="00383A78"/>
    <w:rsid w:val="00390067"/>
    <w:rsid w:val="003B07EC"/>
    <w:rsid w:val="003D3CFE"/>
    <w:rsid w:val="003F513D"/>
    <w:rsid w:val="00431ECA"/>
    <w:rsid w:val="00460B7C"/>
    <w:rsid w:val="00473342"/>
    <w:rsid w:val="004930A3"/>
    <w:rsid w:val="004F3933"/>
    <w:rsid w:val="0053461B"/>
    <w:rsid w:val="005426DA"/>
    <w:rsid w:val="00561928"/>
    <w:rsid w:val="00562076"/>
    <w:rsid w:val="00563537"/>
    <w:rsid w:val="00563DAD"/>
    <w:rsid w:val="005B4E06"/>
    <w:rsid w:val="005C08F1"/>
    <w:rsid w:val="005C2092"/>
    <w:rsid w:val="006057DF"/>
    <w:rsid w:val="0061015D"/>
    <w:rsid w:val="006106D0"/>
    <w:rsid w:val="006116F3"/>
    <w:rsid w:val="00686AC3"/>
    <w:rsid w:val="00697F55"/>
    <w:rsid w:val="006A57AB"/>
    <w:rsid w:val="006B21F8"/>
    <w:rsid w:val="006B2E24"/>
    <w:rsid w:val="006C6A90"/>
    <w:rsid w:val="006F2890"/>
    <w:rsid w:val="006F51B8"/>
    <w:rsid w:val="00742F59"/>
    <w:rsid w:val="00744F09"/>
    <w:rsid w:val="00760047"/>
    <w:rsid w:val="00782127"/>
    <w:rsid w:val="00782CAF"/>
    <w:rsid w:val="00783B82"/>
    <w:rsid w:val="00795354"/>
    <w:rsid w:val="007A2368"/>
    <w:rsid w:val="007A571E"/>
    <w:rsid w:val="007B501A"/>
    <w:rsid w:val="007B715D"/>
    <w:rsid w:val="007C1E90"/>
    <w:rsid w:val="007C49FE"/>
    <w:rsid w:val="00803A31"/>
    <w:rsid w:val="00821037"/>
    <w:rsid w:val="00822481"/>
    <w:rsid w:val="00824168"/>
    <w:rsid w:val="00842D54"/>
    <w:rsid w:val="008609F3"/>
    <w:rsid w:val="0086680A"/>
    <w:rsid w:val="008A0BC1"/>
    <w:rsid w:val="008A4441"/>
    <w:rsid w:val="008C4077"/>
    <w:rsid w:val="008F04B7"/>
    <w:rsid w:val="008F18ED"/>
    <w:rsid w:val="00922155"/>
    <w:rsid w:val="00952A13"/>
    <w:rsid w:val="00957E6F"/>
    <w:rsid w:val="0098031D"/>
    <w:rsid w:val="009864BB"/>
    <w:rsid w:val="00991F4B"/>
    <w:rsid w:val="009924A8"/>
    <w:rsid w:val="009977F0"/>
    <w:rsid w:val="009C37E2"/>
    <w:rsid w:val="009C5CDC"/>
    <w:rsid w:val="009D10BF"/>
    <w:rsid w:val="009E447F"/>
    <w:rsid w:val="009F556E"/>
    <w:rsid w:val="00A1674C"/>
    <w:rsid w:val="00A208C8"/>
    <w:rsid w:val="00A24FC4"/>
    <w:rsid w:val="00A2673E"/>
    <w:rsid w:val="00A309B9"/>
    <w:rsid w:val="00A405FC"/>
    <w:rsid w:val="00A67C44"/>
    <w:rsid w:val="00A704E0"/>
    <w:rsid w:val="00A9394D"/>
    <w:rsid w:val="00A95F04"/>
    <w:rsid w:val="00A96359"/>
    <w:rsid w:val="00AA686D"/>
    <w:rsid w:val="00AD1545"/>
    <w:rsid w:val="00AE198D"/>
    <w:rsid w:val="00AF1899"/>
    <w:rsid w:val="00B40BDA"/>
    <w:rsid w:val="00B45856"/>
    <w:rsid w:val="00B5124E"/>
    <w:rsid w:val="00B63913"/>
    <w:rsid w:val="00B718F2"/>
    <w:rsid w:val="00B74083"/>
    <w:rsid w:val="00B82D31"/>
    <w:rsid w:val="00C14331"/>
    <w:rsid w:val="00C3182B"/>
    <w:rsid w:val="00C328D3"/>
    <w:rsid w:val="00C50B11"/>
    <w:rsid w:val="00C5723A"/>
    <w:rsid w:val="00C80E2F"/>
    <w:rsid w:val="00C918B9"/>
    <w:rsid w:val="00CA0F9D"/>
    <w:rsid w:val="00CB62D0"/>
    <w:rsid w:val="00CC01BE"/>
    <w:rsid w:val="00CE68C9"/>
    <w:rsid w:val="00D03F22"/>
    <w:rsid w:val="00D11B6C"/>
    <w:rsid w:val="00D150DE"/>
    <w:rsid w:val="00D17012"/>
    <w:rsid w:val="00D36DE9"/>
    <w:rsid w:val="00D56ECB"/>
    <w:rsid w:val="00D572D1"/>
    <w:rsid w:val="00D60754"/>
    <w:rsid w:val="00D76103"/>
    <w:rsid w:val="00D774C2"/>
    <w:rsid w:val="00DC3ADB"/>
    <w:rsid w:val="00DD3464"/>
    <w:rsid w:val="00DF41A8"/>
    <w:rsid w:val="00DF514E"/>
    <w:rsid w:val="00E16B02"/>
    <w:rsid w:val="00E26946"/>
    <w:rsid w:val="00E32EF9"/>
    <w:rsid w:val="00E36A89"/>
    <w:rsid w:val="00E4154D"/>
    <w:rsid w:val="00E45606"/>
    <w:rsid w:val="00E47DBE"/>
    <w:rsid w:val="00E75C7E"/>
    <w:rsid w:val="00E96108"/>
    <w:rsid w:val="00E9726A"/>
    <w:rsid w:val="00EC4826"/>
    <w:rsid w:val="00EE09CA"/>
    <w:rsid w:val="00F129ED"/>
    <w:rsid w:val="00F2736C"/>
    <w:rsid w:val="00F31D30"/>
    <w:rsid w:val="00F31DDD"/>
    <w:rsid w:val="00F345A0"/>
    <w:rsid w:val="00F36BC9"/>
    <w:rsid w:val="00F743FF"/>
    <w:rsid w:val="00F77FAE"/>
    <w:rsid w:val="00F82D35"/>
    <w:rsid w:val="00FA3046"/>
    <w:rsid w:val="00FC4462"/>
    <w:rsid w:val="00FF20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344D2"/>
  <w15:chartTrackingRefBased/>
  <w15:docId w15:val="{767AABA7-2C8A-4670-B1C9-1F8D0D7D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1F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21F8"/>
  </w:style>
  <w:style w:type="paragraph" w:styleId="Footer">
    <w:name w:val="footer"/>
    <w:basedOn w:val="Normal"/>
    <w:link w:val="FooterChar"/>
    <w:uiPriority w:val="99"/>
    <w:unhideWhenUsed/>
    <w:rsid w:val="006B21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21F8"/>
  </w:style>
  <w:style w:type="paragraph" w:styleId="NoSpacing">
    <w:name w:val="No Spacing"/>
    <w:link w:val="NoSpacingChar"/>
    <w:uiPriority w:val="1"/>
    <w:qFormat/>
    <w:rsid w:val="006B21F8"/>
    <w:pPr>
      <w:spacing w:after="0" w:line="240" w:lineRule="auto"/>
    </w:pPr>
    <w:rPr>
      <w:rFonts w:eastAsiaTheme="minorEastAsia"/>
    </w:rPr>
  </w:style>
  <w:style w:type="character" w:customStyle="1" w:styleId="NoSpacingChar">
    <w:name w:val="No Spacing Char"/>
    <w:basedOn w:val="DefaultParagraphFont"/>
    <w:link w:val="NoSpacing"/>
    <w:uiPriority w:val="1"/>
    <w:rsid w:val="006B21F8"/>
    <w:rPr>
      <w:rFonts w:eastAsiaTheme="minorEastAsia"/>
    </w:rPr>
  </w:style>
  <w:style w:type="character" w:styleId="LineNumber">
    <w:name w:val="line number"/>
    <w:basedOn w:val="DefaultParagraphFont"/>
    <w:uiPriority w:val="99"/>
    <w:semiHidden/>
    <w:unhideWhenUsed/>
    <w:rsid w:val="0098031D"/>
  </w:style>
  <w:style w:type="character" w:styleId="PageNumber">
    <w:name w:val="page number"/>
    <w:basedOn w:val="DefaultParagraphFont"/>
    <w:uiPriority w:val="99"/>
    <w:semiHidden/>
    <w:unhideWhenUsed/>
    <w:rsid w:val="00F31DDD"/>
  </w:style>
  <w:style w:type="paragraph" w:styleId="ListParagraph">
    <w:name w:val="List Paragraph"/>
    <w:basedOn w:val="Normal"/>
    <w:uiPriority w:val="34"/>
    <w:qFormat/>
    <w:rsid w:val="00CE68C9"/>
    <w:pPr>
      <w:ind w:left="720"/>
      <w:contextualSpacing/>
    </w:pPr>
  </w:style>
  <w:style w:type="character" w:styleId="Hyperlink">
    <w:name w:val="Hyperlink"/>
    <w:basedOn w:val="DefaultParagraphFont"/>
    <w:uiPriority w:val="99"/>
    <w:unhideWhenUsed/>
    <w:rsid w:val="00B40BDA"/>
    <w:rPr>
      <w:color w:val="0563C1" w:themeColor="hyperlink"/>
      <w:u w:val="single"/>
    </w:rPr>
  </w:style>
  <w:style w:type="character" w:styleId="UnresolvedMention">
    <w:name w:val="Unresolved Mention"/>
    <w:basedOn w:val="DefaultParagraphFont"/>
    <w:uiPriority w:val="99"/>
    <w:semiHidden/>
    <w:unhideWhenUsed/>
    <w:rsid w:val="00B40BDA"/>
    <w:rPr>
      <w:color w:val="605E5C"/>
      <w:shd w:val="clear" w:color="auto" w:fill="E1DFDD"/>
    </w:rPr>
  </w:style>
  <w:style w:type="table" w:customStyle="1" w:styleId="GridTable4-Accent41">
    <w:name w:val="Grid Table 4 - Accent 41"/>
    <w:basedOn w:val="TableNormal"/>
    <w:next w:val="GridTable4-Accent4"/>
    <w:uiPriority w:val="49"/>
    <w:rsid w:val="00F345A0"/>
    <w:pPr>
      <w:spacing w:after="0" w:line="240" w:lineRule="auto"/>
    </w:pPr>
    <w:tblPr>
      <w:tblStyleRowBandSize w:val="1"/>
      <w:tblStyleColBandSize w:val="1"/>
      <w:tblBorders>
        <w:top w:val="single" w:sz="4" w:space="0" w:color="E2BDCA"/>
        <w:left w:val="single" w:sz="4" w:space="0" w:color="E2BDCA"/>
        <w:bottom w:val="single" w:sz="4" w:space="0" w:color="E2BDCA"/>
        <w:right w:val="single" w:sz="4" w:space="0" w:color="E2BDCA"/>
        <w:insideH w:val="single" w:sz="4" w:space="0" w:color="E2BDCA"/>
        <w:insideV w:val="single" w:sz="4" w:space="0" w:color="E2BDCA"/>
      </w:tblBorders>
    </w:tblPr>
    <w:tblStylePr w:type="firstRow">
      <w:rPr>
        <w:b/>
        <w:bCs/>
        <w:color w:val="FFFFFF"/>
      </w:rPr>
      <w:tblPr/>
      <w:tcPr>
        <w:tcBorders>
          <w:top w:val="single" w:sz="4" w:space="0" w:color="D092A7"/>
          <w:left w:val="single" w:sz="4" w:space="0" w:color="D092A7"/>
          <w:bottom w:val="single" w:sz="4" w:space="0" w:color="D092A7"/>
          <w:right w:val="single" w:sz="4" w:space="0" w:color="D092A7"/>
          <w:insideH w:val="nil"/>
          <w:insideV w:val="nil"/>
        </w:tcBorders>
        <w:shd w:val="clear" w:color="auto" w:fill="D092A7"/>
      </w:tcPr>
    </w:tblStylePr>
    <w:tblStylePr w:type="lastRow">
      <w:rPr>
        <w:b/>
        <w:bCs/>
      </w:rPr>
      <w:tblPr/>
      <w:tcPr>
        <w:tcBorders>
          <w:top w:val="double" w:sz="4" w:space="0" w:color="D092A7"/>
        </w:tcBorders>
      </w:tcPr>
    </w:tblStylePr>
    <w:tblStylePr w:type="firstCol">
      <w:rPr>
        <w:b/>
        <w:bCs/>
      </w:rPr>
    </w:tblStylePr>
    <w:tblStylePr w:type="lastCol">
      <w:rPr>
        <w:b/>
        <w:bCs/>
      </w:rPr>
    </w:tblStylePr>
    <w:tblStylePr w:type="band1Vert">
      <w:tblPr/>
      <w:tcPr>
        <w:shd w:val="clear" w:color="auto" w:fill="F5E9ED"/>
      </w:tcPr>
    </w:tblStylePr>
    <w:tblStylePr w:type="band1Horz">
      <w:tblPr/>
      <w:tcPr>
        <w:shd w:val="clear" w:color="auto" w:fill="F5E9ED"/>
      </w:tcPr>
    </w:tblStylePr>
  </w:style>
  <w:style w:type="table" w:styleId="GridTable4-Accent4">
    <w:name w:val="Grid Table 4 Accent 4"/>
    <w:basedOn w:val="TableNormal"/>
    <w:uiPriority w:val="49"/>
    <w:rsid w:val="00F345A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2">
    <w:name w:val="Grid Table 4 - Accent 42"/>
    <w:basedOn w:val="TableNormal"/>
    <w:next w:val="GridTable4-Accent4"/>
    <w:uiPriority w:val="49"/>
    <w:rsid w:val="003B07EC"/>
    <w:pPr>
      <w:spacing w:after="0" w:line="240" w:lineRule="auto"/>
    </w:pPr>
    <w:tblPr>
      <w:tblStyleRowBandSize w:val="1"/>
      <w:tblStyleColBandSize w:val="1"/>
      <w:tblBorders>
        <w:top w:val="single" w:sz="4" w:space="0" w:color="E2BDCA"/>
        <w:left w:val="single" w:sz="4" w:space="0" w:color="E2BDCA"/>
        <w:bottom w:val="single" w:sz="4" w:space="0" w:color="E2BDCA"/>
        <w:right w:val="single" w:sz="4" w:space="0" w:color="E2BDCA"/>
        <w:insideH w:val="single" w:sz="4" w:space="0" w:color="E2BDCA"/>
        <w:insideV w:val="single" w:sz="4" w:space="0" w:color="E2BDCA"/>
      </w:tblBorders>
    </w:tblPr>
    <w:tblStylePr w:type="firstRow">
      <w:rPr>
        <w:b/>
        <w:bCs/>
        <w:color w:val="FFFFFF"/>
      </w:rPr>
      <w:tblPr/>
      <w:tcPr>
        <w:tcBorders>
          <w:top w:val="single" w:sz="4" w:space="0" w:color="D092A7"/>
          <w:left w:val="single" w:sz="4" w:space="0" w:color="D092A7"/>
          <w:bottom w:val="single" w:sz="4" w:space="0" w:color="D092A7"/>
          <w:right w:val="single" w:sz="4" w:space="0" w:color="D092A7"/>
          <w:insideH w:val="nil"/>
          <w:insideV w:val="nil"/>
        </w:tcBorders>
        <w:shd w:val="clear" w:color="auto" w:fill="D092A7"/>
      </w:tcPr>
    </w:tblStylePr>
    <w:tblStylePr w:type="lastRow">
      <w:rPr>
        <w:b/>
        <w:bCs/>
      </w:rPr>
      <w:tblPr/>
      <w:tcPr>
        <w:tcBorders>
          <w:top w:val="double" w:sz="4" w:space="0" w:color="D092A7"/>
        </w:tcBorders>
      </w:tcPr>
    </w:tblStylePr>
    <w:tblStylePr w:type="firstCol">
      <w:rPr>
        <w:b/>
        <w:bCs/>
      </w:rPr>
    </w:tblStylePr>
    <w:tblStylePr w:type="lastCol">
      <w:rPr>
        <w:b/>
        <w:bCs/>
      </w:rPr>
    </w:tblStylePr>
    <w:tblStylePr w:type="band1Vert">
      <w:tblPr/>
      <w:tcPr>
        <w:shd w:val="clear" w:color="auto" w:fill="F5E9ED"/>
      </w:tcPr>
    </w:tblStylePr>
    <w:tblStylePr w:type="band1Horz">
      <w:tblPr/>
      <w:tcPr>
        <w:shd w:val="clear" w:color="auto" w:fill="F5E9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3369">
      <w:bodyDiv w:val="1"/>
      <w:marLeft w:val="0"/>
      <w:marRight w:val="0"/>
      <w:marTop w:val="0"/>
      <w:marBottom w:val="0"/>
      <w:divBdr>
        <w:top w:val="none" w:sz="0" w:space="0" w:color="auto"/>
        <w:left w:val="none" w:sz="0" w:space="0" w:color="auto"/>
        <w:bottom w:val="none" w:sz="0" w:space="0" w:color="auto"/>
        <w:right w:val="none" w:sz="0" w:space="0" w:color="auto"/>
      </w:divBdr>
    </w:div>
    <w:div w:id="350575509">
      <w:bodyDiv w:val="1"/>
      <w:marLeft w:val="0"/>
      <w:marRight w:val="0"/>
      <w:marTop w:val="0"/>
      <w:marBottom w:val="0"/>
      <w:divBdr>
        <w:top w:val="none" w:sz="0" w:space="0" w:color="auto"/>
        <w:left w:val="none" w:sz="0" w:space="0" w:color="auto"/>
        <w:bottom w:val="none" w:sz="0" w:space="0" w:color="auto"/>
        <w:right w:val="none" w:sz="0" w:space="0" w:color="auto"/>
      </w:divBdr>
    </w:div>
    <w:div w:id="436364487">
      <w:bodyDiv w:val="1"/>
      <w:marLeft w:val="0"/>
      <w:marRight w:val="0"/>
      <w:marTop w:val="0"/>
      <w:marBottom w:val="0"/>
      <w:divBdr>
        <w:top w:val="none" w:sz="0" w:space="0" w:color="auto"/>
        <w:left w:val="none" w:sz="0" w:space="0" w:color="auto"/>
        <w:bottom w:val="none" w:sz="0" w:space="0" w:color="auto"/>
        <w:right w:val="none" w:sz="0" w:space="0" w:color="auto"/>
      </w:divBdr>
    </w:div>
    <w:div w:id="518541318">
      <w:bodyDiv w:val="1"/>
      <w:marLeft w:val="0"/>
      <w:marRight w:val="0"/>
      <w:marTop w:val="0"/>
      <w:marBottom w:val="0"/>
      <w:divBdr>
        <w:top w:val="none" w:sz="0" w:space="0" w:color="auto"/>
        <w:left w:val="none" w:sz="0" w:space="0" w:color="auto"/>
        <w:bottom w:val="none" w:sz="0" w:space="0" w:color="auto"/>
        <w:right w:val="none" w:sz="0" w:space="0" w:color="auto"/>
      </w:divBdr>
    </w:div>
    <w:div w:id="788546542">
      <w:bodyDiv w:val="1"/>
      <w:marLeft w:val="0"/>
      <w:marRight w:val="0"/>
      <w:marTop w:val="0"/>
      <w:marBottom w:val="0"/>
      <w:divBdr>
        <w:top w:val="none" w:sz="0" w:space="0" w:color="auto"/>
        <w:left w:val="none" w:sz="0" w:space="0" w:color="auto"/>
        <w:bottom w:val="none" w:sz="0" w:space="0" w:color="auto"/>
        <w:right w:val="none" w:sz="0" w:space="0" w:color="auto"/>
      </w:divBdr>
    </w:div>
    <w:div w:id="805513574">
      <w:bodyDiv w:val="1"/>
      <w:marLeft w:val="0"/>
      <w:marRight w:val="0"/>
      <w:marTop w:val="0"/>
      <w:marBottom w:val="0"/>
      <w:divBdr>
        <w:top w:val="none" w:sz="0" w:space="0" w:color="auto"/>
        <w:left w:val="none" w:sz="0" w:space="0" w:color="auto"/>
        <w:bottom w:val="none" w:sz="0" w:space="0" w:color="auto"/>
        <w:right w:val="none" w:sz="0" w:space="0" w:color="auto"/>
      </w:divBdr>
    </w:div>
    <w:div w:id="833647570">
      <w:bodyDiv w:val="1"/>
      <w:marLeft w:val="0"/>
      <w:marRight w:val="0"/>
      <w:marTop w:val="0"/>
      <w:marBottom w:val="0"/>
      <w:divBdr>
        <w:top w:val="none" w:sz="0" w:space="0" w:color="auto"/>
        <w:left w:val="none" w:sz="0" w:space="0" w:color="auto"/>
        <w:bottom w:val="none" w:sz="0" w:space="0" w:color="auto"/>
        <w:right w:val="none" w:sz="0" w:space="0" w:color="auto"/>
      </w:divBdr>
    </w:div>
    <w:div w:id="925190929">
      <w:bodyDiv w:val="1"/>
      <w:marLeft w:val="0"/>
      <w:marRight w:val="0"/>
      <w:marTop w:val="0"/>
      <w:marBottom w:val="0"/>
      <w:divBdr>
        <w:top w:val="none" w:sz="0" w:space="0" w:color="auto"/>
        <w:left w:val="none" w:sz="0" w:space="0" w:color="auto"/>
        <w:bottom w:val="none" w:sz="0" w:space="0" w:color="auto"/>
        <w:right w:val="none" w:sz="0" w:space="0" w:color="auto"/>
      </w:divBdr>
    </w:div>
    <w:div w:id="938221581">
      <w:bodyDiv w:val="1"/>
      <w:marLeft w:val="0"/>
      <w:marRight w:val="0"/>
      <w:marTop w:val="0"/>
      <w:marBottom w:val="0"/>
      <w:divBdr>
        <w:top w:val="none" w:sz="0" w:space="0" w:color="auto"/>
        <w:left w:val="none" w:sz="0" w:space="0" w:color="auto"/>
        <w:bottom w:val="none" w:sz="0" w:space="0" w:color="auto"/>
        <w:right w:val="none" w:sz="0" w:space="0" w:color="auto"/>
      </w:divBdr>
    </w:div>
    <w:div w:id="1254701411">
      <w:bodyDiv w:val="1"/>
      <w:marLeft w:val="0"/>
      <w:marRight w:val="0"/>
      <w:marTop w:val="0"/>
      <w:marBottom w:val="0"/>
      <w:divBdr>
        <w:top w:val="none" w:sz="0" w:space="0" w:color="auto"/>
        <w:left w:val="none" w:sz="0" w:space="0" w:color="auto"/>
        <w:bottom w:val="none" w:sz="0" w:space="0" w:color="auto"/>
        <w:right w:val="none" w:sz="0" w:space="0" w:color="auto"/>
      </w:divBdr>
    </w:div>
    <w:div w:id="1315185649">
      <w:bodyDiv w:val="1"/>
      <w:marLeft w:val="0"/>
      <w:marRight w:val="0"/>
      <w:marTop w:val="0"/>
      <w:marBottom w:val="0"/>
      <w:divBdr>
        <w:top w:val="none" w:sz="0" w:space="0" w:color="auto"/>
        <w:left w:val="none" w:sz="0" w:space="0" w:color="auto"/>
        <w:bottom w:val="none" w:sz="0" w:space="0" w:color="auto"/>
        <w:right w:val="none" w:sz="0" w:space="0" w:color="auto"/>
      </w:divBdr>
    </w:div>
    <w:div w:id="1783769441">
      <w:bodyDiv w:val="1"/>
      <w:marLeft w:val="0"/>
      <w:marRight w:val="0"/>
      <w:marTop w:val="0"/>
      <w:marBottom w:val="0"/>
      <w:divBdr>
        <w:top w:val="none" w:sz="0" w:space="0" w:color="auto"/>
        <w:left w:val="none" w:sz="0" w:space="0" w:color="auto"/>
        <w:bottom w:val="none" w:sz="0" w:space="0" w:color="auto"/>
        <w:right w:val="none" w:sz="0" w:space="0" w:color="auto"/>
      </w:divBdr>
    </w:div>
    <w:div w:id="1879080273">
      <w:bodyDiv w:val="1"/>
      <w:marLeft w:val="0"/>
      <w:marRight w:val="0"/>
      <w:marTop w:val="0"/>
      <w:marBottom w:val="0"/>
      <w:divBdr>
        <w:top w:val="none" w:sz="0" w:space="0" w:color="auto"/>
        <w:left w:val="none" w:sz="0" w:space="0" w:color="auto"/>
        <w:bottom w:val="none" w:sz="0" w:space="0" w:color="auto"/>
        <w:right w:val="none" w:sz="0" w:space="0" w:color="auto"/>
      </w:divBdr>
    </w:div>
    <w:div w:id="190456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doi.org/10.1016/s0300-483x(02)00246-9" TargetMode="External"/><Relationship Id="rId3" Type="http://schemas.openxmlformats.org/officeDocument/2006/relationships/settings" Target="settings.xml"/><Relationship Id="rId21" Type="http://schemas.openxmlformats.org/officeDocument/2006/relationships/hyperlink" Target="https://doi.org/10.4103/1110-7782.145298" TargetMode="External"/><Relationship Id="rId7" Type="http://schemas.openxmlformats.org/officeDocument/2006/relationships/hyperlink" Target="mailto:yasmeena2014@yahoo.com" TargetMode="External"/><Relationship Id="rId12" Type="http://schemas.openxmlformats.org/officeDocument/2006/relationships/header" Target="header3.xml"/><Relationship Id="rId17" Type="http://schemas.openxmlformats.org/officeDocument/2006/relationships/hyperlink" Target="https://doi.org/10.1515/aiht-2016-67-2784" TargetMode="External"/><Relationship Id="rId2" Type="http://schemas.openxmlformats.org/officeDocument/2006/relationships/styles" Target="styles.xml"/><Relationship Id="rId16" Type="http://schemas.openxmlformats.org/officeDocument/2006/relationships/hyperlink" Target="https://doi.org/10.1016/j.forsciint.2011.06.018" TargetMode="External"/><Relationship Id="rId20" Type="http://schemas.openxmlformats.org/officeDocument/2006/relationships/hyperlink" Target="https://doi.org/10.1186/2008-2231-2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4103/0019-5049.68372"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2136</TotalTime>
  <Pages>14</Pages>
  <Words>5429</Words>
  <Characters>30951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Yasmina</dc:creator>
  <cp:keywords/>
  <dc:description/>
  <cp:lastModifiedBy>Yasmina Badr</cp:lastModifiedBy>
  <cp:revision>74</cp:revision>
  <cp:lastPrinted>2022-08-11T00:43:00Z</cp:lastPrinted>
  <dcterms:created xsi:type="dcterms:W3CDTF">2021-04-01T11:08:00Z</dcterms:created>
  <dcterms:modified xsi:type="dcterms:W3CDTF">2022-10-29T05:39:00Z</dcterms:modified>
</cp:coreProperties>
</file>